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2699" w14:textId="1999E4FE" w:rsidR="003E6E73" w:rsidRDefault="003E6E73"/>
    <w:tbl>
      <w:tblPr>
        <w:tblStyle w:val="Style1"/>
        <w:tblW w:w="0" w:type="auto"/>
        <w:tblLook w:val="04A0" w:firstRow="1" w:lastRow="0" w:firstColumn="1" w:lastColumn="0" w:noHBand="0" w:noVBand="1"/>
      </w:tblPr>
      <w:tblGrid>
        <w:gridCol w:w="2688"/>
        <w:gridCol w:w="6322"/>
      </w:tblGrid>
      <w:tr w:rsidR="003E6E73" w14:paraId="7E5F4D78" w14:textId="77777777" w:rsidTr="00194AAD">
        <w:trPr>
          <w:cnfStyle w:val="100000000000" w:firstRow="1" w:lastRow="0" w:firstColumn="0" w:lastColumn="0" w:oddVBand="0" w:evenVBand="0" w:oddHBand="0" w:evenHBand="0" w:firstRowFirstColumn="0" w:firstRowLastColumn="0" w:lastRowFirstColumn="0" w:lastRowLastColumn="0"/>
        </w:trPr>
        <w:tc>
          <w:tcPr>
            <w:tcW w:w="9010" w:type="dxa"/>
            <w:gridSpan w:val="2"/>
          </w:tcPr>
          <w:p w14:paraId="39A6DC1B" w14:textId="5FAA68E9" w:rsidR="003E6E73" w:rsidRDefault="00073E2C">
            <w:r>
              <w:t xml:space="preserve">WP4: </w:t>
            </w:r>
            <w:r w:rsidR="003E6E73">
              <w:t>Intervention package 1</w:t>
            </w:r>
          </w:p>
          <w:p w14:paraId="06F2AA4E" w14:textId="61E18AD8" w:rsidR="003E6E73" w:rsidRDefault="003E6E73" w:rsidP="00131F55">
            <w:r>
              <w:t>Early to late adolescence</w:t>
            </w:r>
          </w:p>
          <w:p w14:paraId="5EAF1902" w14:textId="77777777" w:rsidR="003E6E73" w:rsidRDefault="003E6E73"/>
        </w:tc>
      </w:tr>
      <w:tr w:rsidR="003E6E73" w14:paraId="2D576DC4" w14:textId="77777777" w:rsidTr="00194AAD">
        <w:tc>
          <w:tcPr>
            <w:tcW w:w="2688" w:type="dxa"/>
          </w:tcPr>
          <w:p w14:paraId="292BFC71" w14:textId="5A0F5EC7" w:rsidR="003E6E73" w:rsidRDefault="003E6E73">
            <w:r>
              <w:t>Age group</w:t>
            </w:r>
          </w:p>
        </w:tc>
        <w:tc>
          <w:tcPr>
            <w:tcW w:w="6322" w:type="dxa"/>
          </w:tcPr>
          <w:p w14:paraId="65FE0113" w14:textId="77777777" w:rsidR="003E6E73" w:rsidRDefault="003E6E73">
            <w:r>
              <w:t>12-18</w:t>
            </w:r>
          </w:p>
          <w:p w14:paraId="17803AAB" w14:textId="62C2B6DB" w:rsidR="00194AAD" w:rsidRDefault="00194AAD"/>
        </w:tc>
      </w:tr>
      <w:tr w:rsidR="003E6E73" w14:paraId="50DAE5B0" w14:textId="77777777" w:rsidTr="00194AAD">
        <w:tc>
          <w:tcPr>
            <w:tcW w:w="2688" w:type="dxa"/>
          </w:tcPr>
          <w:p w14:paraId="0E1AC229" w14:textId="0D258553" w:rsidR="003E6E73" w:rsidRDefault="003E6E73">
            <w:r>
              <w:t>Key transition</w:t>
            </w:r>
          </w:p>
        </w:tc>
        <w:tc>
          <w:tcPr>
            <w:tcW w:w="6322" w:type="dxa"/>
          </w:tcPr>
          <w:p w14:paraId="643861D9" w14:textId="77777777" w:rsidR="003E6E73" w:rsidRDefault="003E6E73">
            <w:r>
              <w:t>From early to late adolescence</w:t>
            </w:r>
            <w:r w:rsidR="00194AAD">
              <w:t>.</w:t>
            </w:r>
          </w:p>
          <w:p w14:paraId="33975D16" w14:textId="7E08F31E" w:rsidR="00194AAD" w:rsidRDefault="00194AAD"/>
        </w:tc>
      </w:tr>
      <w:tr w:rsidR="003E6E73" w14:paraId="383B1519" w14:textId="77777777" w:rsidTr="00194AAD">
        <w:tc>
          <w:tcPr>
            <w:tcW w:w="2688" w:type="dxa"/>
          </w:tcPr>
          <w:p w14:paraId="78AA82D3" w14:textId="7454C580" w:rsidR="003E6E73" w:rsidRDefault="003E6E73">
            <w:r>
              <w:t>Setting</w:t>
            </w:r>
          </w:p>
        </w:tc>
        <w:tc>
          <w:tcPr>
            <w:tcW w:w="6322" w:type="dxa"/>
          </w:tcPr>
          <w:p w14:paraId="01C854E9" w14:textId="77777777" w:rsidR="003E6E73" w:rsidRDefault="00131F55">
            <w:r>
              <w:t>Lower and/or upper secondary schools, depending on organisation of educational system in relevant countries.</w:t>
            </w:r>
          </w:p>
          <w:p w14:paraId="6F59E473" w14:textId="77777777" w:rsidR="00131F55" w:rsidRDefault="00131F55">
            <w:r>
              <w:t>Interventions will be implemented in schools, although they may not apply, or not in the same way, to all classes.</w:t>
            </w:r>
          </w:p>
          <w:p w14:paraId="5897B3B7" w14:textId="01083886" w:rsidR="00131F55" w:rsidRDefault="00131F55">
            <w:r>
              <w:t>Interventions</w:t>
            </w:r>
            <w:r w:rsidR="00431F47">
              <w:t xml:space="preserve"> will </w:t>
            </w:r>
            <w:r>
              <w:t xml:space="preserve">also </w:t>
            </w:r>
            <w:r w:rsidR="00431F47">
              <w:t xml:space="preserve">be deployed </w:t>
            </w:r>
            <w:r>
              <w:t>at the individual level</w:t>
            </w:r>
            <w:r w:rsidR="00431F47">
              <w:t>.</w:t>
            </w:r>
            <w:r>
              <w:t xml:space="preserve"> </w:t>
            </w:r>
          </w:p>
          <w:p w14:paraId="4069DC74" w14:textId="389F8854" w:rsidR="00131F55" w:rsidRDefault="00131F55"/>
        </w:tc>
      </w:tr>
      <w:tr w:rsidR="003E6E73" w14:paraId="1F532868" w14:textId="77777777" w:rsidTr="00194AAD">
        <w:tc>
          <w:tcPr>
            <w:tcW w:w="2688" w:type="dxa"/>
          </w:tcPr>
          <w:p w14:paraId="4DA53A72" w14:textId="1BCEA8EA" w:rsidR="003E6E73" w:rsidRDefault="00131F55">
            <w:r>
              <w:t>Actions involved</w:t>
            </w:r>
          </w:p>
        </w:tc>
        <w:tc>
          <w:tcPr>
            <w:tcW w:w="6322" w:type="dxa"/>
          </w:tcPr>
          <w:p w14:paraId="0B05F15B" w14:textId="77777777" w:rsidR="003E6E73" w:rsidRDefault="00194AAD">
            <w:r>
              <w:t>Class-based activities; changes in school environment; resources and services for individual use.</w:t>
            </w:r>
          </w:p>
          <w:p w14:paraId="1E39BB2F" w14:textId="54386D9C" w:rsidR="005346C1" w:rsidRDefault="005346C1">
            <w:r>
              <w:t xml:space="preserve">The intervention approach will be consistent with WHO’s guidelines on Health Promoting Schools, and with </w:t>
            </w:r>
            <w:proofErr w:type="spellStart"/>
            <w:r>
              <w:t>EuroHealthNet’s</w:t>
            </w:r>
            <w:proofErr w:type="spellEnd"/>
            <w:r>
              <w:t xml:space="preserve"> Schools4Health programme.</w:t>
            </w:r>
            <w:r w:rsidR="00191399">
              <w:t xml:space="preserve"> Inclusiveness and sustainability will be key pillars of the intervention approach.</w:t>
            </w:r>
          </w:p>
          <w:p w14:paraId="56C00380" w14:textId="4C868C51" w:rsidR="00194AAD" w:rsidRDefault="00194AAD"/>
        </w:tc>
      </w:tr>
      <w:tr w:rsidR="002C2D5D" w14:paraId="351D97FF" w14:textId="77777777" w:rsidTr="00194AAD">
        <w:tc>
          <w:tcPr>
            <w:tcW w:w="2688" w:type="dxa"/>
          </w:tcPr>
          <w:p w14:paraId="3225C86A" w14:textId="7ECBD827" w:rsidR="002C2D5D" w:rsidRDefault="005346C1">
            <w:r>
              <w:t>Implementation c</w:t>
            </w:r>
            <w:r w:rsidR="002C2D5D">
              <w:t>ountries</w:t>
            </w:r>
          </w:p>
        </w:tc>
        <w:tc>
          <w:tcPr>
            <w:tcW w:w="6322" w:type="dxa"/>
          </w:tcPr>
          <w:p w14:paraId="54B5F8E7" w14:textId="40D88246" w:rsidR="002C2D5D" w:rsidRDefault="002C2D5D">
            <w:r>
              <w:t xml:space="preserve">Norway </w:t>
            </w:r>
          </w:p>
          <w:p w14:paraId="4D39FE9F" w14:textId="393B6A87" w:rsidR="002C2D5D" w:rsidRDefault="005346C1">
            <w:r>
              <w:t xml:space="preserve">Spain, </w:t>
            </w:r>
            <w:r w:rsidR="002C2D5D">
              <w:t>Basque Country (TBC)</w:t>
            </w:r>
          </w:p>
          <w:p w14:paraId="6E8666AB" w14:textId="54970646" w:rsidR="002C2D5D" w:rsidRDefault="002C2D5D">
            <w:r>
              <w:t>+ 1</w:t>
            </w:r>
          </w:p>
        </w:tc>
      </w:tr>
      <w:tr w:rsidR="00194AAD" w14:paraId="4D535EDF" w14:textId="77777777" w:rsidTr="00194AAD">
        <w:tc>
          <w:tcPr>
            <w:tcW w:w="9010" w:type="dxa"/>
            <w:gridSpan w:val="2"/>
          </w:tcPr>
          <w:p w14:paraId="0EFD8187" w14:textId="77777777" w:rsidR="00194AAD" w:rsidRPr="00A851B7" w:rsidRDefault="00194AAD">
            <w:pPr>
              <w:rPr>
                <w:b/>
                <w:bCs/>
              </w:rPr>
            </w:pPr>
            <w:r w:rsidRPr="00A851B7">
              <w:rPr>
                <w:b/>
                <w:bCs/>
              </w:rPr>
              <w:t>Intervention domains</w:t>
            </w:r>
          </w:p>
          <w:p w14:paraId="7C7C72F7" w14:textId="7BA55B8C" w:rsidR="00194AAD" w:rsidRDefault="00194AAD"/>
        </w:tc>
      </w:tr>
      <w:tr w:rsidR="00194AAD" w14:paraId="7EBF8808" w14:textId="77777777" w:rsidTr="00194AAD">
        <w:tc>
          <w:tcPr>
            <w:tcW w:w="2688" w:type="dxa"/>
          </w:tcPr>
          <w:p w14:paraId="7CF03455" w14:textId="580C39FE" w:rsidR="00194AAD" w:rsidRDefault="00655A2C" w:rsidP="00655A2C">
            <w:r>
              <w:t xml:space="preserve">1. </w:t>
            </w:r>
            <w:r w:rsidR="00194AAD">
              <w:t>Health and digital literacy</w:t>
            </w:r>
          </w:p>
        </w:tc>
        <w:tc>
          <w:tcPr>
            <w:tcW w:w="6322" w:type="dxa"/>
          </w:tcPr>
          <w:p w14:paraId="42A4A8DF" w14:textId="4DE3F8E2" w:rsidR="0032051D" w:rsidRDefault="00073E2C">
            <w:r>
              <w:t>Co-creation of health and digital literacy programme with youth and relevant local stakeholders.</w:t>
            </w:r>
            <w:r w:rsidR="003978AB">
              <w:t xml:space="preserve"> Involvement of school health services and community nurses (where relevant). </w:t>
            </w:r>
            <w:r w:rsidR="0032051D">
              <w:t xml:space="preserve">Start from </w:t>
            </w:r>
            <w:r w:rsidR="0032051D" w:rsidRPr="0032051D">
              <w:rPr>
                <w:b/>
                <w:bCs/>
              </w:rPr>
              <w:t>needs assessment</w:t>
            </w:r>
            <w:r w:rsidR="0032051D">
              <w:t xml:space="preserve">, then develop an </w:t>
            </w:r>
            <w:r w:rsidR="0032051D" w:rsidRPr="0032051D">
              <w:rPr>
                <w:b/>
                <w:bCs/>
              </w:rPr>
              <w:t>intervention plan</w:t>
            </w:r>
            <w:r w:rsidR="0032051D" w:rsidRPr="0032051D">
              <w:t>,</w:t>
            </w:r>
            <w:r w:rsidR="0032051D">
              <w:t xml:space="preserve"> comprising of </w:t>
            </w:r>
            <w:r w:rsidR="0032051D" w:rsidRPr="0032051D">
              <w:rPr>
                <w:b/>
                <w:bCs/>
              </w:rPr>
              <w:t>health literacy materials and resources</w:t>
            </w:r>
            <w:r w:rsidR="0032051D">
              <w:t xml:space="preserve">, and a plan for </w:t>
            </w:r>
            <w:r w:rsidR="0032051D" w:rsidRPr="0032051D">
              <w:rPr>
                <w:b/>
                <w:bCs/>
              </w:rPr>
              <w:t>interactive, class-based sessions</w:t>
            </w:r>
            <w:r w:rsidR="0032051D">
              <w:t>.</w:t>
            </w:r>
          </w:p>
          <w:p w14:paraId="7488B892" w14:textId="51659F7F" w:rsidR="00073E2C" w:rsidRDefault="003978AB">
            <w:r>
              <w:t>Components may include the following:</w:t>
            </w:r>
          </w:p>
          <w:p w14:paraId="307ACCAF" w14:textId="6BC0D53A" w:rsidR="005F12EC" w:rsidRDefault="003978AB">
            <w:r>
              <w:t xml:space="preserve">a) </w:t>
            </w:r>
            <w:r w:rsidR="005F12EC">
              <w:t>TUTCH (Teenagers understanding and taking control of their health) educational approach, developed by the CHOICE Foundation (SE) based on training medical students to deliver health literacy sessions to adolescents on mental health and addictions.</w:t>
            </w:r>
            <w:r>
              <w:t xml:space="preserve"> [EU Best practice]</w:t>
            </w:r>
          </w:p>
          <w:p w14:paraId="3C16BC62" w14:textId="1F62BB74" w:rsidR="003978AB" w:rsidRDefault="003978AB">
            <w:r>
              <w:t xml:space="preserve">b) Digital literacy sessions, focusing on access to health information through digital media. Understanding how AI algorithms affect the </w:t>
            </w:r>
            <w:r w:rsidR="00AE3C97">
              <w:t xml:space="preserve">health-related </w:t>
            </w:r>
            <w:r>
              <w:t xml:space="preserve">information young people access. Managing exposure to misinformation through pre-bunking and inoculation. </w:t>
            </w:r>
            <w:r w:rsidR="00A43E73">
              <w:t xml:space="preserve">A component of the digital literacy programme will be designed to support </w:t>
            </w:r>
            <w:r w:rsidR="00A43E73">
              <w:lastRenderedPageBreak/>
              <w:t xml:space="preserve">domain no. 2 in the intervention package, described below. </w:t>
            </w:r>
            <w:r>
              <w:t xml:space="preserve">[Evidence on misinformation management] </w:t>
            </w:r>
          </w:p>
          <w:p w14:paraId="261495B2" w14:textId="39351F51" w:rsidR="00194AAD" w:rsidRDefault="00194AAD"/>
        </w:tc>
      </w:tr>
      <w:tr w:rsidR="00194AAD" w14:paraId="115677C5" w14:textId="77777777" w:rsidTr="00194AAD">
        <w:tc>
          <w:tcPr>
            <w:tcW w:w="2688" w:type="dxa"/>
          </w:tcPr>
          <w:p w14:paraId="02A8428F" w14:textId="1FA08980" w:rsidR="00194AAD" w:rsidRDefault="00655A2C">
            <w:r>
              <w:lastRenderedPageBreak/>
              <w:t>2. Self-management of digital media use</w:t>
            </w:r>
          </w:p>
        </w:tc>
        <w:tc>
          <w:tcPr>
            <w:tcW w:w="6322" w:type="dxa"/>
          </w:tcPr>
          <w:p w14:paraId="2F0F9300" w14:textId="40BF22D5" w:rsidR="00194AAD" w:rsidRDefault="00A43E73">
            <w:r>
              <w:t>Individual-level intervention component, requiring children (and their families) to volunteer to modify their social media settings in ways that will limit their exposure to “attention grabbing” and potentially addictive features of digital media use. These interventions will include the following:</w:t>
            </w:r>
          </w:p>
          <w:p w14:paraId="71BF421F" w14:textId="56003B58" w:rsidR="00A43E73" w:rsidRDefault="00A43E73">
            <w:r>
              <w:t>a) Content access management tool, hindering “infinite scrolling”</w:t>
            </w:r>
            <w:r w:rsidR="00505097">
              <w:t>. This feature would prevent children from excessive exposure to social media content and from spending exceeding amounts of time on screens and digital media, thereby reducing exposure to potentially harmful health-related content.</w:t>
            </w:r>
          </w:p>
          <w:p w14:paraId="07C5AE19" w14:textId="2B9F63D7" w:rsidR="00505097" w:rsidRDefault="00505097">
            <w:r>
              <w:t>b) Sleep duration and attention controls, which would trigger a hard stop (not amenable to manipulation) on social media use at given times of the day and night.</w:t>
            </w:r>
          </w:p>
          <w:p w14:paraId="729471A1" w14:textId="310D3F85" w:rsidR="00505097" w:rsidRDefault="00505097">
            <w:r>
              <w:t>c) Notification frequency reduction</w:t>
            </w:r>
            <w:r w:rsidR="00A851B7">
              <w:t xml:space="preserve"> tool, which would reduce the frequency of notifications, another key “attention grabbing” feature of digital media use, by delivering them in batches, thereby reducing the frequency of device pick-up and time spent on digital devices.</w:t>
            </w:r>
          </w:p>
          <w:p w14:paraId="0C0E0806" w14:textId="77777777" w:rsidR="003978AB" w:rsidRDefault="003978AB"/>
        </w:tc>
      </w:tr>
      <w:tr w:rsidR="00194AAD" w14:paraId="56C04299" w14:textId="77777777" w:rsidTr="00194AAD">
        <w:tc>
          <w:tcPr>
            <w:tcW w:w="2688" w:type="dxa"/>
          </w:tcPr>
          <w:p w14:paraId="19C6A917" w14:textId="1135EA44" w:rsidR="00194AAD" w:rsidRDefault="00655A2C">
            <w:r>
              <w:t xml:space="preserve">3. </w:t>
            </w:r>
            <w:r w:rsidR="0063685F">
              <w:t>Healthy school e</w:t>
            </w:r>
            <w:r>
              <w:t>nvironment</w:t>
            </w:r>
            <w:r w:rsidR="0063685F">
              <w:t>s</w:t>
            </w:r>
            <w:r>
              <w:t xml:space="preserve"> </w:t>
            </w:r>
            <w:r w:rsidR="00ED0D5A">
              <w:t xml:space="preserve">and </w:t>
            </w:r>
            <w:r>
              <w:t>nudges</w:t>
            </w:r>
          </w:p>
        </w:tc>
        <w:tc>
          <w:tcPr>
            <w:tcW w:w="6322" w:type="dxa"/>
          </w:tcPr>
          <w:p w14:paraId="64B7A9D8" w14:textId="77777777" w:rsidR="00146B6D" w:rsidRDefault="00CB5E33">
            <w:r>
              <w:t>School-level intervention component aimed at creating a health promoting environment</w:t>
            </w:r>
            <w:r w:rsidR="00A44BE5">
              <w:t xml:space="preserve">. </w:t>
            </w:r>
            <w:r w:rsidR="00082422">
              <w:t xml:space="preserve">The focus </w:t>
            </w:r>
            <w:r w:rsidR="00FF6EF8">
              <w:t xml:space="preserve">will </w:t>
            </w:r>
            <w:r w:rsidR="00082422">
              <w:t xml:space="preserve">be on the three health </w:t>
            </w:r>
            <w:r w:rsidR="00FF6EF8">
              <w:t xml:space="preserve">issues </w:t>
            </w:r>
            <w:r w:rsidR="005F29AE">
              <w:t>at the centre of the proposal (obesity, mental health, and addictions)</w:t>
            </w:r>
            <w:r w:rsidR="00146B6D">
              <w:t>, as follows:</w:t>
            </w:r>
          </w:p>
          <w:p w14:paraId="109295B1" w14:textId="3C2AFD4C" w:rsidR="00F404F3" w:rsidRDefault="00A954BD" w:rsidP="00A954BD">
            <w:r>
              <w:t xml:space="preserve">a) </w:t>
            </w:r>
            <w:r w:rsidR="00A44BE5">
              <w:t xml:space="preserve">Strong evidence, and WHO </w:t>
            </w:r>
            <w:r>
              <w:t xml:space="preserve">policy guidelines and </w:t>
            </w:r>
            <w:r w:rsidR="00A44BE5">
              <w:t>recommendations, exist</w:t>
            </w:r>
            <w:r w:rsidR="0013177E">
              <w:t xml:space="preserve"> on school food environments</w:t>
            </w:r>
            <w:r w:rsidR="00372525">
              <w:t xml:space="preserve">. WHO guidelines relate to </w:t>
            </w:r>
            <w:r w:rsidR="00FE29EA">
              <w:t xml:space="preserve">direct food provision; </w:t>
            </w:r>
            <w:r w:rsidR="00070F13">
              <w:t>nutrition standards; and nudges (</w:t>
            </w:r>
            <w:r w:rsidR="00DE21C8">
              <w:t xml:space="preserve">portion size, </w:t>
            </w:r>
            <w:r w:rsidR="00F63646">
              <w:t>nutrition information, food presentation and positioning)</w:t>
            </w:r>
            <w:r w:rsidR="00C4577B">
              <w:t xml:space="preserve">. While not all schools </w:t>
            </w:r>
            <w:r w:rsidR="00FE3AD0">
              <w:t>would have canteens or directly provide full meals</w:t>
            </w:r>
            <w:r w:rsidR="00510C7A">
              <w:t>, there is probably sufficient scope for implementing food environment interventions that would have a meaningful impact on children’s dietary intakes</w:t>
            </w:r>
            <w:r w:rsidR="00BD2ADB">
              <w:t>.</w:t>
            </w:r>
          </w:p>
          <w:p w14:paraId="46AF7C0A" w14:textId="49AEB76E" w:rsidR="00BD2ADB" w:rsidRDefault="00BD2ADB" w:rsidP="00A954BD">
            <w:r>
              <w:t>b) Food environment interventions can be combined with physical activity interventions</w:t>
            </w:r>
            <w:r w:rsidR="00F7542E">
              <w:t xml:space="preserve"> in addressing the first critical health area (overweight and obesity)</w:t>
            </w:r>
            <w:r w:rsidR="002C5D90">
              <w:t>, provided that the required infrastructure investment is affordable and sustainable.</w:t>
            </w:r>
          </w:p>
          <w:p w14:paraId="6553910F" w14:textId="556B766E" w:rsidR="00F404F3" w:rsidRDefault="00291E84" w:rsidP="00291E84">
            <w:r>
              <w:t xml:space="preserve">c) </w:t>
            </w:r>
            <w:r w:rsidR="00F404F3">
              <w:t>Smartphone-free schools</w:t>
            </w:r>
            <w:r>
              <w:t xml:space="preserve">, following an increasing number of jurisdictions preventing children from taking </w:t>
            </w:r>
            <w:r w:rsidR="009C4151">
              <w:t>their smartphones to school or using them while at school</w:t>
            </w:r>
            <w:r w:rsidR="006775FF">
              <w:t xml:space="preserve">. The </w:t>
            </w:r>
            <w:r w:rsidR="000379C1">
              <w:t xml:space="preserve">Z-Health framework </w:t>
            </w:r>
            <w:r w:rsidR="006775FF">
              <w:t xml:space="preserve">assumes </w:t>
            </w:r>
            <w:r w:rsidR="000379C1">
              <w:t xml:space="preserve">that reducing exposure </w:t>
            </w:r>
            <w:r w:rsidR="000379C1">
              <w:lastRenderedPageBreak/>
              <w:t xml:space="preserve">to digital media </w:t>
            </w:r>
            <w:r w:rsidR="002E56A1">
              <w:t xml:space="preserve">and digital content would have benefits in </w:t>
            </w:r>
            <w:proofErr w:type="gramStart"/>
            <w:r w:rsidR="002E56A1">
              <w:t xml:space="preserve">all </w:t>
            </w:r>
            <w:r w:rsidR="00C34CA9">
              <w:t>of</w:t>
            </w:r>
            <w:proofErr w:type="gramEnd"/>
            <w:r w:rsidR="00C34CA9">
              <w:t xml:space="preserve"> the project’s </w:t>
            </w:r>
            <w:r w:rsidR="002E56A1">
              <w:t xml:space="preserve">three critical health </w:t>
            </w:r>
            <w:r w:rsidR="00C34CA9">
              <w:t>areas.</w:t>
            </w:r>
          </w:p>
          <w:p w14:paraId="75519B50" w14:textId="26549E02" w:rsidR="00F404F3" w:rsidRDefault="00F404F3" w:rsidP="002630D2"/>
        </w:tc>
      </w:tr>
      <w:tr w:rsidR="00194AAD" w14:paraId="29B00520" w14:textId="77777777" w:rsidTr="00194AAD">
        <w:tc>
          <w:tcPr>
            <w:tcW w:w="2688" w:type="dxa"/>
          </w:tcPr>
          <w:p w14:paraId="0E6D0202" w14:textId="0B64B90E" w:rsidR="00194AAD" w:rsidRDefault="00655A2C">
            <w:r>
              <w:lastRenderedPageBreak/>
              <w:t>4. Resources and services</w:t>
            </w:r>
          </w:p>
        </w:tc>
        <w:tc>
          <w:tcPr>
            <w:tcW w:w="6322" w:type="dxa"/>
          </w:tcPr>
          <w:p w14:paraId="4C7757DB" w14:textId="2FAAF871" w:rsidR="002630D2" w:rsidRDefault="002630D2">
            <w:r>
              <w:t>Environmental interventions aimed at empowering children to request and obtain safe advice and counselling from trained staff on health issues they may be experiencing or may be concerned about.</w:t>
            </w:r>
          </w:p>
          <w:p w14:paraId="566D2202" w14:textId="67A46384" w:rsidR="00194AAD" w:rsidRDefault="002630D2" w:rsidP="002630D2">
            <w:r>
              <w:t>The priority area in this domain is probably m</w:t>
            </w:r>
            <w:r w:rsidR="00073E2C">
              <w:t>ental health</w:t>
            </w:r>
            <w:r>
              <w:t>, and the intervention may rely on transferring and adapting the NIJZ approach developed in Slovenia with the “</w:t>
            </w:r>
            <w:r>
              <w:t xml:space="preserve">To </w:t>
            </w:r>
            <w:proofErr w:type="spellStart"/>
            <w:r>
              <w:t>sem</w:t>
            </w:r>
            <w:proofErr w:type="spellEnd"/>
            <w:r>
              <w:t xml:space="preserve"> </w:t>
            </w:r>
            <w:proofErr w:type="spellStart"/>
            <w:r>
              <w:t>jaz</w:t>
            </w:r>
            <w:proofErr w:type="spellEnd"/>
            <w:r>
              <w:t>”</w:t>
            </w:r>
            <w:r>
              <w:t xml:space="preserve"> </w:t>
            </w:r>
            <w:r>
              <w:t xml:space="preserve">mental health counselling </w:t>
            </w:r>
            <w:r>
              <w:t>website</w:t>
            </w:r>
            <w:r>
              <w:t xml:space="preserve"> to other countries. Potentially, an </w:t>
            </w:r>
            <w:r w:rsidR="00073E2C">
              <w:t>AI-assisted version of NIJZ’s</w:t>
            </w:r>
            <w:r>
              <w:t xml:space="preserve"> tool could be considered, for efficiency of deliver, while maintaining trained staff in control of the answers provided. The AI support algorithm could be trained using a database of questions asked and advice provided </w:t>
            </w:r>
            <w:r>
              <w:t>over the years</w:t>
            </w:r>
            <w:r>
              <w:t xml:space="preserve"> (if available) in Slovenia. </w:t>
            </w:r>
          </w:p>
          <w:p w14:paraId="06F2BFAD" w14:textId="5CD40752" w:rsidR="00073E2C" w:rsidRDefault="00073E2C"/>
        </w:tc>
      </w:tr>
    </w:tbl>
    <w:p w14:paraId="7B3DAD76" w14:textId="77777777" w:rsidR="00014ABF" w:rsidRDefault="00014ABF"/>
    <w:sectPr w:rsidR="00014A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B4E59"/>
    <w:multiLevelType w:val="hybridMultilevel"/>
    <w:tmpl w:val="27D6A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3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73"/>
    <w:rsid w:val="00014ABF"/>
    <w:rsid w:val="000379C1"/>
    <w:rsid w:val="00070F13"/>
    <w:rsid w:val="00073E2C"/>
    <w:rsid w:val="00082422"/>
    <w:rsid w:val="0013177E"/>
    <w:rsid w:val="00131F55"/>
    <w:rsid w:val="00146B6D"/>
    <w:rsid w:val="00150FF8"/>
    <w:rsid w:val="00191399"/>
    <w:rsid w:val="00194AAD"/>
    <w:rsid w:val="001E1D57"/>
    <w:rsid w:val="002630D2"/>
    <w:rsid w:val="00291E84"/>
    <w:rsid w:val="002C2D5D"/>
    <w:rsid w:val="002C5D90"/>
    <w:rsid w:val="002E56A1"/>
    <w:rsid w:val="0032051D"/>
    <w:rsid w:val="00372525"/>
    <w:rsid w:val="003978AB"/>
    <w:rsid w:val="003E6E73"/>
    <w:rsid w:val="00431F47"/>
    <w:rsid w:val="00505097"/>
    <w:rsid w:val="00510C7A"/>
    <w:rsid w:val="005346C1"/>
    <w:rsid w:val="005F12EC"/>
    <w:rsid w:val="005F29AE"/>
    <w:rsid w:val="0063685F"/>
    <w:rsid w:val="00655A2C"/>
    <w:rsid w:val="006775FF"/>
    <w:rsid w:val="006A3FD1"/>
    <w:rsid w:val="008C107C"/>
    <w:rsid w:val="009C4151"/>
    <w:rsid w:val="00A43E73"/>
    <w:rsid w:val="00A44BE5"/>
    <w:rsid w:val="00A851B7"/>
    <w:rsid w:val="00A954BD"/>
    <w:rsid w:val="00AE3C97"/>
    <w:rsid w:val="00BD2ADB"/>
    <w:rsid w:val="00C34CA9"/>
    <w:rsid w:val="00C4577B"/>
    <w:rsid w:val="00CB5E33"/>
    <w:rsid w:val="00DE21C8"/>
    <w:rsid w:val="00ED0D5A"/>
    <w:rsid w:val="00F404F3"/>
    <w:rsid w:val="00F63646"/>
    <w:rsid w:val="00F7542E"/>
    <w:rsid w:val="00FE29EA"/>
    <w:rsid w:val="00FE3AD0"/>
    <w:rsid w:val="00FF6E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EAC8"/>
  <w15:chartTrackingRefBased/>
  <w15:docId w15:val="{702DFCDD-C9A4-432A-9279-30EE9DF3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E73"/>
    <w:rPr>
      <w:rFonts w:eastAsiaTheme="majorEastAsia" w:cstheme="majorBidi"/>
      <w:color w:val="272727" w:themeColor="text1" w:themeTint="D8"/>
    </w:rPr>
  </w:style>
  <w:style w:type="paragraph" w:styleId="Title">
    <w:name w:val="Title"/>
    <w:basedOn w:val="Normal"/>
    <w:next w:val="Normal"/>
    <w:link w:val="TitleChar"/>
    <w:uiPriority w:val="10"/>
    <w:qFormat/>
    <w:rsid w:val="003E6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E73"/>
    <w:pPr>
      <w:spacing w:before="160"/>
      <w:jc w:val="center"/>
    </w:pPr>
    <w:rPr>
      <w:i/>
      <w:iCs/>
      <w:color w:val="404040" w:themeColor="text1" w:themeTint="BF"/>
    </w:rPr>
  </w:style>
  <w:style w:type="character" w:customStyle="1" w:styleId="QuoteChar">
    <w:name w:val="Quote Char"/>
    <w:basedOn w:val="DefaultParagraphFont"/>
    <w:link w:val="Quote"/>
    <w:uiPriority w:val="29"/>
    <w:rsid w:val="003E6E73"/>
    <w:rPr>
      <w:i/>
      <w:iCs/>
      <w:color w:val="404040" w:themeColor="text1" w:themeTint="BF"/>
    </w:rPr>
  </w:style>
  <w:style w:type="paragraph" w:styleId="ListParagraph">
    <w:name w:val="List Paragraph"/>
    <w:basedOn w:val="Normal"/>
    <w:uiPriority w:val="34"/>
    <w:qFormat/>
    <w:rsid w:val="003E6E73"/>
    <w:pPr>
      <w:ind w:left="720"/>
      <w:contextualSpacing/>
    </w:pPr>
  </w:style>
  <w:style w:type="character" w:styleId="IntenseEmphasis">
    <w:name w:val="Intense Emphasis"/>
    <w:basedOn w:val="DefaultParagraphFont"/>
    <w:uiPriority w:val="21"/>
    <w:qFormat/>
    <w:rsid w:val="003E6E73"/>
    <w:rPr>
      <w:i/>
      <w:iCs/>
      <w:color w:val="0F4761" w:themeColor="accent1" w:themeShade="BF"/>
    </w:rPr>
  </w:style>
  <w:style w:type="paragraph" w:styleId="IntenseQuote">
    <w:name w:val="Intense Quote"/>
    <w:basedOn w:val="Normal"/>
    <w:next w:val="Normal"/>
    <w:link w:val="IntenseQuoteChar"/>
    <w:uiPriority w:val="30"/>
    <w:qFormat/>
    <w:rsid w:val="003E6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E73"/>
    <w:rPr>
      <w:i/>
      <w:iCs/>
      <w:color w:val="0F4761" w:themeColor="accent1" w:themeShade="BF"/>
    </w:rPr>
  </w:style>
  <w:style w:type="character" w:styleId="IntenseReference">
    <w:name w:val="Intense Reference"/>
    <w:basedOn w:val="DefaultParagraphFont"/>
    <w:uiPriority w:val="32"/>
    <w:qFormat/>
    <w:rsid w:val="003E6E73"/>
    <w:rPr>
      <w:b/>
      <w:bCs/>
      <w:smallCaps/>
      <w:color w:val="0F4761" w:themeColor="accent1" w:themeShade="BF"/>
      <w:spacing w:val="5"/>
    </w:rPr>
  </w:style>
  <w:style w:type="table" w:styleId="TableGrid">
    <w:name w:val="Table Grid"/>
    <w:basedOn w:val="TableNormal"/>
    <w:uiPriority w:val="39"/>
    <w:rsid w:val="003E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Professional"/>
    <w:uiPriority w:val="99"/>
    <w:rsid w:val="003E6E73"/>
    <w:pPr>
      <w:spacing w:after="0" w:line="240" w:lineRule="auto"/>
    </w:pPr>
    <w:tbl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3E6E7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Sassi, Franco</dc:creator>
  <cp:keywords/>
  <dc:description/>
  <cp:lastModifiedBy>Sassi, Franco</cp:lastModifiedBy>
  <cp:revision>32</cp:revision>
  <dcterms:created xsi:type="dcterms:W3CDTF">2026-03-16T13:08:00Z</dcterms:created>
  <dcterms:modified xsi:type="dcterms:W3CDTF">2026-03-19T09:01:00Z</dcterms:modified>
</cp:coreProperties>
</file>