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2C8B" w14:textId="3116B909" w:rsidR="004A4C9F" w:rsidRPr="00D1279F" w:rsidRDefault="004A4C9F" w:rsidP="00D1279F">
      <w:pPr>
        <w:jc w:val="center"/>
        <w:rPr>
          <w:rFonts w:cs="Calibri Light"/>
          <w:b/>
          <w:bCs/>
          <w:i/>
          <w:iCs/>
          <w:lang w:val="en-GB"/>
        </w:rPr>
      </w:pPr>
      <w:r w:rsidRPr="00D1279F">
        <w:rPr>
          <w:rFonts w:cs="Calibri Light"/>
          <w:b/>
          <w:bCs/>
          <w:i/>
          <w:iCs/>
          <w:lang w:val="en-GB"/>
        </w:rPr>
        <w:t>Z-HEALTH proposal</w:t>
      </w:r>
    </w:p>
    <w:p w14:paraId="4F66BB60" w14:textId="7B07190D" w:rsidR="00BF2C89" w:rsidRPr="00D1279F" w:rsidRDefault="00D1279F" w:rsidP="00D1279F">
      <w:pPr>
        <w:jc w:val="center"/>
        <w:rPr>
          <w:rFonts w:cs="Calibri Light"/>
          <w:b/>
          <w:bCs/>
          <w:i/>
          <w:iCs/>
          <w:lang w:val="en-GB"/>
        </w:rPr>
      </w:pPr>
      <w:hyperlink r:id="rId8" w:history="1">
        <w:r w:rsidR="00BF2C89" w:rsidRPr="00D1279F">
          <w:rPr>
            <w:rStyle w:val="Collegamentoipertestuale"/>
            <w:rFonts w:cs="Calibri Light"/>
            <w:b/>
            <w:bCs/>
            <w:i/>
            <w:iCs/>
            <w:lang w:val="en-GB"/>
          </w:rPr>
          <w:t>HORIZON-HLTH-2026-01-STAYHLTH-02: Behavioural interventions as primary prevention for Non-Communicable Diseases (NCDs) among young people</w:t>
        </w:r>
      </w:hyperlink>
    </w:p>
    <w:p w14:paraId="661422D4" w14:textId="77777777" w:rsidR="00862466" w:rsidRDefault="00862466" w:rsidP="00D1279F">
      <w:pPr>
        <w:rPr>
          <w:rFonts w:cs="Calibri Light"/>
          <w:b/>
          <w:bCs/>
          <w:i/>
          <w:iCs/>
          <w:lang w:val="en-GB"/>
        </w:rPr>
      </w:pPr>
    </w:p>
    <w:p w14:paraId="6CAF580D" w14:textId="77777777" w:rsidR="00D1279F" w:rsidRPr="00D1279F" w:rsidRDefault="00D1279F" w:rsidP="00D1279F">
      <w:pPr>
        <w:rPr>
          <w:rFonts w:cs="Calibri Light"/>
          <w:b/>
          <w:bCs/>
          <w:i/>
          <w:iCs/>
          <w:lang w:val="en-GB"/>
        </w:rPr>
      </w:pPr>
    </w:p>
    <w:tbl>
      <w:tblPr>
        <w:tblStyle w:val="Grigliatabella"/>
        <w:tblW w:w="0" w:type="auto"/>
        <w:tblLook w:val="04A0" w:firstRow="1" w:lastRow="0" w:firstColumn="1" w:lastColumn="0" w:noHBand="0" w:noVBand="1"/>
      </w:tblPr>
      <w:tblGrid>
        <w:gridCol w:w="10456"/>
      </w:tblGrid>
      <w:tr w:rsidR="00BF2C89" w:rsidRPr="00D1279F" w14:paraId="29810B40" w14:textId="77777777" w:rsidTr="00BF2C89">
        <w:tc>
          <w:tcPr>
            <w:tcW w:w="10456" w:type="dxa"/>
          </w:tcPr>
          <w:p w14:paraId="4E09B852" w14:textId="65F10DAF" w:rsidR="00D1279F" w:rsidRPr="00D1279F" w:rsidRDefault="00BF2C89" w:rsidP="00D1279F">
            <w:pPr>
              <w:spacing w:line="360" w:lineRule="auto"/>
              <w:rPr>
                <w:rFonts w:cs="Calibri Light"/>
                <w:b/>
                <w:bCs/>
                <w:sz w:val="22"/>
                <w:szCs w:val="22"/>
                <w:lang w:val="en-GB"/>
              </w:rPr>
            </w:pPr>
            <w:r w:rsidRPr="00D1279F">
              <w:rPr>
                <w:rFonts w:cs="Calibri Light"/>
                <w:b/>
                <w:bCs/>
                <w:sz w:val="22"/>
                <w:szCs w:val="22"/>
                <w:lang w:val="en-GB"/>
              </w:rPr>
              <w:t>Cluster 1 Health – Destination: Staying healthy in a rapidly changing society</w:t>
            </w:r>
          </w:p>
          <w:p w14:paraId="68BBD064" w14:textId="77777777" w:rsidR="00BF2C89" w:rsidRPr="00D1279F" w:rsidRDefault="00BF2C89" w:rsidP="00D1279F">
            <w:pPr>
              <w:spacing w:line="360" w:lineRule="auto"/>
              <w:rPr>
                <w:rFonts w:cs="Calibri Light"/>
                <w:sz w:val="22"/>
                <w:szCs w:val="22"/>
                <w:lang w:val="en-GB"/>
              </w:rPr>
            </w:pPr>
            <w:r w:rsidRPr="00D1279F">
              <w:rPr>
                <w:rFonts w:cs="Calibri Light"/>
                <w:sz w:val="22"/>
                <w:szCs w:val="22"/>
                <w:lang w:val="en-GB"/>
              </w:rPr>
              <w:t xml:space="preserve">RIA – expected EU contribution: 9-10 million EUR – two projects funded </w:t>
            </w:r>
          </w:p>
          <w:p w14:paraId="05CF2E3E" w14:textId="02A0AA8F" w:rsidR="00BF2C89" w:rsidRPr="00D1279F" w:rsidRDefault="00BF2C89" w:rsidP="00D1279F">
            <w:pPr>
              <w:spacing w:line="360" w:lineRule="auto"/>
              <w:rPr>
                <w:rFonts w:cs="Calibri Light"/>
                <w:sz w:val="22"/>
                <w:szCs w:val="22"/>
                <w:lang w:val="en-GB"/>
              </w:rPr>
            </w:pPr>
            <w:r w:rsidRPr="00D1279F">
              <w:rPr>
                <w:rFonts w:cs="Calibri Light"/>
                <w:sz w:val="22"/>
                <w:szCs w:val="22"/>
                <w:lang w:val="en-GB"/>
              </w:rPr>
              <w:t>Cumulative threshold: 12 (4 each criterion)</w:t>
            </w:r>
          </w:p>
          <w:p w14:paraId="423294BE" w14:textId="207409A5" w:rsidR="00BF2C89" w:rsidRPr="00D1279F" w:rsidRDefault="00BF2C89" w:rsidP="00D1279F">
            <w:pPr>
              <w:spacing w:line="360" w:lineRule="auto"/>
              <w:rPr>
                <w:rFonts w:cs="Calibri Light"/>
                <w:i/>
                <w:iCs/>
                <w:sz w:val="22"/>
                <w:szCs w:val="22"/>
                <w:lang w:val="en-GB"/>
              </w:rPr>
            </w:pPr>
            <w:r w:rsidRPr="00D1279F">
              <w:rPr>
                <w:rFonts w:cs="Calibri Light"/>
                <w:sz w:val="22"/>
                <w:szCs w:val="22"/>
                <w:lang w:val="en-GB"/>
              </w:rPr>
              <w:t xml:space="preserve">Opening: 10 Feb 2026 – Deadline: </w:t>
            </w:r>
            <w:r w:rsidRPr="00D1279F">
              <w:rPr>
                <w:rFonts w:cs="Calibri Light"/>
                <w:b/>
                <w:bCs/>
                <w:sz w:val="22"/>
                <w:szCs w:val="22"/>
                <w:lang w:val="en-GB"/>
              </w:rPr>
              <w:t>16 April 2026</w:t>
            </w:r>
          </w:p>
        </w:tc>
      </w:tr>
    </w:tbl>
    <w:p w14:paraId="16C173C8" w14:textId="77777777" w:rsidR="00D1279F" w:rsidRPr="00D1279F" w:rsidRDefault="00D1279F" w:rsidP="00D1279F">
      <w:pPr>
        <w:rPr>
          <w:rFonts w:cs="Calibri Light"/>
          <w:b/>
          <w:bCs/>
          <w:i/>
          <w:iCs/>
          <w:sz w:val="22"/>
          <w:szCs w:val="22"/>
          <w:lang w:val="en-GB"/>
        </w:rPr>
      </w:pPr>
    </w:p>
    <w:p w14:paraId="2CD31542" w14:textId="4A31DCBB" w:rsidR="00D1279F" w:rsidRPr="00D1279F" w:rsidRDefault="00D1279F" w:rsidP="00D1279F">
      <w:pPr>
        <w:pStyle w:val="Titolo2"/>
        <w:spacing w:before="0" w:after="0"/>
        <w:rPr>
          <w:rFonts w:asciiTheme="minorHAnsi" w:hAnsiTheme="minorHAnsi"/>
          <w:b/>
          <w:bCs/>
          <w:sz w:val="24"/>
          <w:szCs w:val="24"/>
          <w:lang w:val="en-GB"/>
        </w:rPr>
      </w:pPr>
      <w:r w:rsidRPr="00D1279F">
        <w:rPr>
          <w:rFonts w:asciiTheme="minorHAnsi" w:hAnsiTheme="minorHAnsi"/>
          <w:b/>
          <w:bCs/>
          <w:sz w:val="24"/>
          <w:szCs w:val="24"/>
          <w:lang w:val="en-GB"/>
        </w:rPr>
        <w:t>Partners</w:t>
      </w:r>
    </w:p>
    <w:tbl>
      <w:tblPr>
        <w:tblStyle w:val="Grigliatabella"/>
        <w:tblW w:w="10627" w:type="dxa"/>
        <w:tblLook w:val="04A0" w:firstRow="1" w:lastRow="0" w:firstColumn="1" w:lastColumn="0" w:noHBand="0" w:noVBand="1"/>
      </w:tblPr>
      <w:tblGrid>
        <w:gridCol w:w="2972"/>
        <w:gridCol w:w="2835"/>
        <w:gridCol w:w="4820"/>
      </w:tblGrid>
      <w:tr w:rsidR="00D1279F" w:rsidRPr="00D1279F" w14:paraId="79A28D2C" w14:textId="77777777" w:rsidTr="00D1279F">
        <w:tc>
          <w:tcPr>
            <w:tcW w:w="2972" w:type="dxa"/>
          </w:tcPr>
          <w:p w14:paraId="0F10D870" w14:textId="7D0C9677" w:rsidR="00D1279F" w:rsidRPr="00D1279F" w:rsidRDefault="00D1279F" w:rsidP="00D1279F">
            <w:pPr>
              <w:rPr>
                <w:rFonts w:cs="Calibri Light"/>
                <w:b/>
                <w:bCs/>
                <w:sz w:val="21"/>
                <w:szCs w:val="21"/>
                <w:lang w:val="en-GB"/>
              </w:rPr>
            </w:pPr>
            <w:r w:rsidRPr="00D1279F">
              <w:rPr>
                <w:rFonts w:cs="Calibri Light"/>
                <w:b/>
                <w:bCs/>
                <w:sz w:val="21"/>
                <w:szCs w:val="21"/>
                <w:lang w:val="en-GB"/>
              </w:rPr>
              <w:t>Universities:</w:t>
            </w:r>
          </w:p>
        </w:tc>
        <w:tc>
          <w:tcPr>
            <w:tcW w:w="2835" w:type="dxa"/>
          </w:tcPr>
          <w:p w14:paraId="144BEF25" w14:textId="4BF1F284" w:rsidR="00D1279F" w:rsidRPr="00D1279F" w:rsidRDefault="00D1279F" w:rsidP="00D1279F">
            <w:pPr>
              <w:rPr>
                <w:rFonts w:cs="Calibri Light"/>
                <w:b/>
                <w:bCs/>
                <w:i/>
                <w:iCs/>
                <w:sz w:val="21"/>
                <w:szCs w:val="21"/>
                <w:lang w:val="en-GB"/>
              </w:rPr>
            </w:pPr>
            <w:r w:rsidRPr="00D1279F">
              <w:rPr>
                <w:rFonts w:cs="Calibri Light"/>
                <w:b/>
                <w:bCs/>
                <w:sz w:val="21"/>
                <w:szCs w:val="21"/>
                <w:lang w:val="en-GB"/>
              </w:rPr>
              <w:t>Public Health Institutes</w:t>
            </w:r>
          </w:p>
        </w:tc>
        <w:tc>
          <w:tcPr>
            <w:tcW w:w="4820" w:type="dxa"/>
          </w:tcPr>
          <w:p w14:paraId="40222998" w14:textId="1B764370" w:rsidR="00D1279F" w:rsidRPr="00D1279F" w:rsidRDefault="00D1279F" w:rsidP="00D1279F">
            <w:pPr>
              <w:rPr>
                <w:rFonts w:cs="Calibri Light"/>
                <w:b/>
                <w:bCs/>
                <w:i/>
                <w:iCs/>
                <w:sz w:val="21"/>
                <w:szCs w:val="21"/>
                <w:lang w:val="en-GB"/>
              </w:rPr>
            </w:pPr>
            <w:r w:rsidRPr="00D1279F">
              <w:rPr>
                <w:rFonts w:cs="Calibri Light"/>
                <w:b/>
                <w:bCs/>
                <w:i/>
                <w:iCs/>
                <w:sz w:val="21"/>
                <w:szCs w:val="21"/>
                <w:lang w:val="en-GB"/>
              </w:rPr>
              <w:t>Others</w:t>
            </w:r>
          </w:p>
        </w:tc>
      </w:tr>
      <w:tr w:rsidR="00D1279F" w:rsidRPr="00D1279F" w14:paraId="1020E240" w14:textId="77777777" w:rsidTr="00D1279F">
        <w:tc>
          <w:tcPr>
            <w:tcW w:w="2972" w:type="dxa"/>
          </w:tcPr>
          <w:p w14:paraId="1DC2AD4A"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Imperial College London (UK)</w:t>
            </w:r>
          </w:p>
          <w:p w14:paraId="507EAA07"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New York University (US)</w:t>
            </w:r>
          </w:p>
          <w:p w14:paraId="264DA696"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University of Cologne (DE)</w:t>
            </w:r>
          </w:p>
          <w:p w14:paraId="730651C3" w14:textId="246AD68D"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Amsterdam UMC (NL)</w:t>
            </w:r>
          </w:p>
        </w:tc>
        <w:tc>
          <w:tcPr>
            <w:tcW w:w="2835" w:type="dxa"/>
          </w:tcPr>
          <w:p w14:paraId="55EBD0B4"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Norway (NO)</w:t>
            </w:r>
          </w:p>
          <w:p w14:paraId="52B27835"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Slovenia (SI)</w:t>
            </w:r>
          </w:p>
          <w:p w14:paraId="23BA7BE5"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Germany (DE)</w:t>
            </w:r>
          </w:p>
          <w:p w14:paraId="442FD695" w14:textId="3C070DC8"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Basque Country (ES)*</w:t>
            </w:r>
          </w:p>
          <w:p w14:paraId="7A47FC86" w14:textId="77777777"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North Macedonia (MK)*</w:t>
            </w:r>
          </w:p>
          <w:p w14:paraId="547B940A" w14:textId="353615CA" w:rsidR="00D1279F" w:rsidRPr="00D1279F" w:rsidRDefault="00D1279F" w:rsidP="00D1279F">
            <w:pPr>
              <w:pStyle w:val="Paragrafoelenco"/>
              <w:numPr>
                <w:ilvl w:val="0"/>
                <w:numId w:val="6"/>
              </w:numPr>
              <w:rPr>
                <w:rFonts w:cs="Calibri Light"/>
                <w:sz w:val="21"/>
                <w:szCs w:val="21"/>
                <w:lang w:val="en-GB"/>
              </w:rPr>
            </w:pPr>
            <w:r w:rsidRPr="00D1279F">
              <w:rPr>
                <w:rFonts w:cs="Calibri Light"/>
                <w:sz w:val="21"/>
                <w:szCs w:val="21"/>
                <w:lang w:val="en-GB"/>
              </w:rPr>
              <w:t>Ukraine (UA)*</w:t>
            </w:r>
          </w:p>
        </w:tc>
        <w:tc>
          <w:tcPr>
            <w:tcW w:w="4820" w:type="dxa"/>
          </w:tcPr>
          <w:p w14:paraId="0DCC539C" w14:textId="77777777" w:rsidR="00D1279F" w:rsidRPr="00D1279F" w:rsidRDefault="00D1279F" w:rsidP="00D1279F">
            <w:pPr>
              <w:pStyle w:val="Paragrafoelenco"/>
              <w:numPr>
                <w:ilvl w:val="0"/>
                <w:numId w:val="6"/>
              </w:numPr>
              <w:rPr>
                <w:rFonts w:cs="Calibri Light"/>
                <w:sz w:val="21"/>
                <w:szCs w:val="21"/>
              </w:rPr>
            </w:pPr>
            <w:proofErr w:type="spellStart"/>
            <w:r w:rsidRPr="00D1279F">
              <w:rPr>
                <w:rFonts w:cs="Calibri Light"/>
                <w:sz w:val="21"/>
                <w:szCs w:val="21"/>
                <w:lang w:val="en-GB"/>
              </w:rPr>
              <w:t>EuroHealthNet</w:t>
            </w:r>
            <w:proofErr w:type="spellEnd"/>
            <w:r w:rsidRPr="00D1279F">
              <w:rPr>
                <w:rFonts w:cs="Calibri Light"/>
                <w:sz w:val="21"/>
                <w:szCs w:val="21"/>
                <w:lang w:val="en-GB"/>
              </w:rPr>
              <w:t xml:space="preserve"> (BE)</w:t>
            </w:r>
          </w:p>
          <w:p w14:paraId="71522A83" w14:textId="3F7A9E65" w:rsidR="00D1279F" w:rsidRPr="00D1279F" w:rsidRDefault="00D1279F" w:rsidP="00D1279F">
            <w:pPr>
              <w:pStyle w:val="Paragrafoelenco"/>
              <w:numPr>
                <w:ilvl w:val="0"/>
                <w:numId w:val="6"/>
              </w:numPr>
              <w:rPr>
                <w:rFonts w:cs="Calibri Light"/>
                <w:sz w:val="21"/>
                <w:szCs w:val="21"/>
              </w:rPr>
            </w:pPr>
            <w:proofErr w:type="spellStart"/>
            <w:r w:rsidRPr="00D1279F">
              <w:rPr>
                <w:rFonts w:cs="Calibri Light"/>
                <w:sz w:val="21"/>
                <w:szCs w:val="21"/>
                <w:lang w:val="en-GB"/>
              </w:rPr>
              <w:t>Isinnova</w:t>
            </w:r>
            <w:proofErr w:type="spellEnd"/>
            <w:r w:rsidRPr="00D1279F">
              <w:rPr>
                <w:rFonts w:cs="Calibri Light"/>
                <w:sz w:val="21"/>
                <w:szCs w:val="21"/>
                <w:lang w:val="en-GB"/>
              </w:rPr>
              <w:t xml:space="preserve"> (IT)</w:t>
            </w:r>
          </w:p>
          <w:p w14:paraId="7835DBFF" w14:textId="77777777" w:rsidR="00D1279F" w:rsidRPr="00D1279F" w:rsidRDefault="00D1279F" w:rsidP="00D1279F">
            <w:pPr>
              <w:pStyle w:val="Paragrafoelenco"/>
              <w:numPr>
                <w:ilvl w:val="0"/>
                <w:numId w:val="6"/>
              </w:numPr>
              <w:rPr>
                <w:rFonts w:cs="Calibri Light"/>
                <w:sz w:val="21"/>
                <w:szCs w:val="21"/>
              </w:rPr>
            </w:pPr>
            <w:r w:rsidRPr="00D1279F">
              <w:rPr>
                <w:rFonts w:cs="Calibri Light"/>
                <w:sz w:val="21"/>
                <w:szCs w:val="21"/>
                <w:lang w:val="en-GB"/>
              </w:rPr>
              <w:t>Choice Foundation (SE)*</w:t>
            </w:r>
          </w:p>
          <w:p w14:paraId="4545C1F1" w14:textId="77777777" w:rsidR="00D1279F" w:rsidRPr="00D1279F" w:rsidRDefault="00D1279F" w:rsidP="00D1279F">
            <w:pPr>
              <w:pStyle w:val="Paragrafoelenco"/>
              <w:numPr>
                <w:ilvl w:val="0"/>
                <w:numId w:val="6"/>
              </w:numPr>
              <w:rPr>
                <w:rFonts w:cs="Calibri Light"/>
                <w:sz w:val="21"/>
                <w:szCs w:val="21"/>
              </w:rPr>
            </w:pPr>
            <w:r w:rsidRPr="00D1279F">
              <w:rPr>
                <w:rFonts w:cs="Calibri Light"/>
                <w:sz w:val="21"/>
                <w:szCs w:val="21"/>
                <w:lang w:val="en-GB"/>
              </w:rPr>
              <w:t>European Medical Students’ Association (BE)*</w:t>
            </w:r>
          </w:p>
          <w:p w14:paraId="202E2194" w14:textId="77777777" w:rsidR="00D1279F" w:rsidRPr="00D1279F" w:rsidRDefault="00D1279F" w:rsidP="00D1279F">
            <w:pPr>
              <w:pStyle w:val="Paragrafoelenco"/>
              <w:numPr>
                <w:ilvl w:val="0"/>
                <w:numId w:val="6"/>
              </w:numPr>
              <w:rPr>
                <w:rFonts w:cs="Calibri Light"/>
                <w:sz w:val="21"/>
                <w:szCs w:val="21"/>
              </w:rPr>
            </w:pPr>
            <w:r w:rsidRPr="00D1279F">
              <w:rPr>
                <w:rFonts w:cs="Calibri Light"/>
                <w:sz w:val="21"/>
                <w:szCs w:val="21"/>
                <w:lang w:val="en-GB"/>
              </w:rPr>
              <w:t>International Youth Health Organisation (SI)*</w:t>
            </w:r>
          </w:p>
          <w:p w14:paraId="24CAFB3E" w14:textId="77777777" w:rsidR="00D1279F" w:rsidRPr="00D1279F" w:rsidRDefault="00D1279F" w:rsidP="00D1279F">
            <w:pPr>
              <w:pStyle w:val="Paragrafoelenco"/>
              <w:numPr>
                <w:ilvl w:val="0"/>
                <w:numId w:val="6"/>
              </w:numPr>
              <w:rPr>
                <w:rFonts w:cs="Calibri Light"/>
                <w:sz w:val="21"/>
                <w:szCs w:val="21"/>
              </w:rPr>
            </w:pPr>
            <w:r w:rsidRPr="00D1279F">
              <w:rPr>
                <w:rFonts w:cs="Calibri Light"/>
                <w:sz w:val="21"/>
                <w:szCs w:val="21"/>
                <w:lang w:val="en-GB"/>
              </w:rPr>
              <w:t>PRESS (NO)*</w:t>
            </w:r>
          </w:p>
          <w:p w14:paraId="23EB2CC2" w14:textId="4F765A18" w:rsidR="00D1279F" w:rsidRPr="00D1279F" w:rsidRDefault="00D1279F" w:rsidP="00D1279F">
            <w:pPr>
              <w:pStyle w:val="Paragrafoelenco"/>
              <w:numPr>
                <w:ilvl w:val="0"/>
                <w:numId w:val="6"/>
              </w:numPr>
              <w:rPr>
                <w:rFonts w:cs="Calibri Light"/>
                <w:sz w:val="21"/>
                <w:szCs w:val="21"/>
              </w:rPr>
            </w:pPr>
            <w:r w:rsidRPr="00D1279F">
              <w:rPr>
                <w:rFonts w:cs="Calibri Light"/>
                <w:sz w:val="21"/>
                <w:szCs w:val="21"/>
                <w:lang w:val="en-GB"/>
              </w:rPr>
              <w:t>BGF Institute (DE)*</w:t>
            </w:r>
          </w:p>
        </w:tc>
      </w:tr>
    </w:tbl>
    <w:p w14:paraId="274F4730" w14:textId="77777777" w:rsidR="00D1279F" w:rsidRDefault="00D1279F" w:rsidP="00D1279F">
      <w:pPr>
        <w:rPr>
          <w:rFonts w:cs="Calibri Light"/>
          <w:sz w:val="22"/>
          <w:szCs w:val="22"/>
          <w:lang w:val="en-GB"/>
        </w:rPr>
      </w:pPr>
    </w:p>
    <w:p w14:paraId="052AE6CE" w14:textId="77777777" w:rsidR="00D1279F" w:rsidRPr="00D1279F" w:rsidRDefault="00D1279F" w:rsidP="00D1279F">
      <w:pPr>
        <w:pStyle w:val="Titolo2"/>
        <w:spacing w:before="0" w:after="0"/>
        <w:rPr>
          <w:rFonts w:asciiTheme="minorHAnsi" w:hAnsiTheme="minorHAnsi"/>
          <w:b/>
          <w:bCs/>
          <w:sz w:val="24"/>
          <w:szCs w:val="24"/>
          <w:lang w:val="en-GB"/>
        </w:rPr>
      </w:pPr>
      <w:r w:rsidRPr="00D1279F">
        <w:rPr>
          <w:rFonts w:asciiTheme="minorHAnsi" w:hAnsiTheme="minorHAnsi"/>
          <w:b/>
          <w:bCs/>
          <w:sz w:val="24"/>
          <w:szCs w:val="24"/>
          <w:lang w:val="en-GB"/>
        </w:rPr>
        <w:t>Proposal structure</w:t>
      </w:r>
    </w:p>
    <w:p w14:paraId="59E52063" w14:textId="77777777" w:rsidR="00D1279F" w:rsidRPr="00D1279F" w:rsidRDefault="00D1279F" w:rsidP="00D1279F">
      <w:pPr>
        <w:rPr>
          <w:rFonts w:cs="Calibri Light"/>
          <w:b/>
          <w:bCs/>
          <w:i/>
          <w:iCs/>
          <w:sz w:val="22"/>
          <w:szCs w:val="22"/>
          <w:lang w:val="en-GB"/>
        </w:rPr>
      </w:pPr>
      <w:r w:rsidRPr="00D1279F">
        <w:rPr>
          <w:rFonts w:cs="Calibri Light"/>
          <w:b/>
          <w:bCs/>
          <w:i/>
          <w:iCs/>
          <w:noProof/>
          <w:sz w:val="22"/>
          <w:szCs w:val="22"/>
          <w:lang w:val="en-GB"/>
        </w:rPr>
        <w:drawing>
          <wp:inline distT="0" distB="0" distL="0" distR="0" wp14:anchorId="2D8C6594" wp14:editId="690563C4">
            <wp:extent cx="6814394" cy="3414408"/>
            <wp:effectExtent l="0" t="0" r="5715" b="1905"/>
            <wp:docPr id="1733334488" name="Immagine 1" descr="Immagine che contiene testo, software, Pagina Web, Sito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34488" name="Immagine 1" descr="Immagine che contiene testo, software, Pagina Web, Sito Web&#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61096" cy="3437809"/>
                    </a:xfrm>
                    <a:prstGeom prst="rect">
                      <a:avLst/>
                    </a:prstGeom>
                  </pic:spPr>
                </pic:pic>
              </a:graphicData>
            </a:graphic>
          </wp:inline>
        </w:drawing>
      </w:r>
    </w:p>
    <w:p w14:paraId="422E4C1E" w14:textId="77777777" w:rsidR="00D1279F" w:rsidRPr="00D1279F" w:rsidRDefault="00D1279F" w:rsidP="00D1279F">
      <w:pPr>
        <w:rPr>
          <w:rFonts w:cs="Calibri Light"/>
          <w:sz w:val="22"/>
          <w:szCs w:val="22"/>
          <w:lang w:val="en-GB"/>
        </w:rPr>
      </w:pPr>
    </w:p>
    <w:p w14:paraId="7EF10CFB" w14:textId="77777777" w:rsidR="00D1279F" w:rsidRPr="00D1279F" w:rsidRDefault="00D1279F" w:rsidP="00D1279F">
      <w:pPr>
        <w:pStyle w:val="Titolo2"/>
        <w:spacing w:before="0" w:after="0"/>
        <w:rPr>
          <w:rFonts w:asciiTheme="minorHAnsi" w:hAnsiTheme="minorHAnsi"/>
          <w:lang w:val="en-GB"/>
        </w:rPr>
      </w:pPr>
      <w:r w:rsidRPr="00D1279F">
        <w:rPr>
          <w:rFonts w:asciiTheme="minorHAnsi" w:hAnsiTheme="minorHAnsi"/>
          <w:b/>
          <w:bCs/>
          <w:sz w:val="24"/>
          <w:szCs w:val="24"/>
          <w:lang w:val="en-GB"/>
        </w:rPr>
        <w:t>Z-HEALTH: an overview</w:t>
      </w:r>
    </w:p>
    <w:p w14:paraId="4499380A" w14:textId="4507BBE3" w:rsidR="00D1279F" w:rsidRPr="00D1279F" w:rsidRDefault="00D1279F" w:rsidP="00D1279F">
      <w:pPr>
        <w:jc w:val="both"/>
        <w:rPr>
          <w:sz w:val="21"/>
          <w:szCs w:val="21"/>
          <w:lang w:val="en-GB"/>
        </w:rPr>
      </w:pPr>
      <w:r w:rsidRPr="00D1279F">
        <w:rPr>
          <w:sz w:val="21"/>
          <w:szCs w:val="21"/>
          <w:lang w:val="en-GB"/>
        </w:rPr>
        <w:t>Z-HEALTH — Health in the Digital Generation — is a multi-country Research and Innovation Action that will evaluate, at scale and across diverse European contexts, the effectiveness of evidence-based behavioural interventions for preventing and reducing the burden of obesity, mental health diseases, and addictions in young people aged 12 to 25. It does so by targeting the shared modifiable causal pathway — the digital habit-formation process — through a pre-specified architecture of four complementary intervention families.</w:t>
      </w:r>
    </w:p>
    <w:p w14:paraId="396FA657" w14:textId="77777777" w:rsidR="00D1279F" w:rsidRDefault="00D1279F" w:rsidP="00D1279F">
      <w:pPr>
        <w:rPr>
          <w:color w:val="000000"/>
          <w:sz w:val="21"/>
          <w:szCs w:val="21"/>
          <w:lang w:val="en-GB"/>
        </w:rPr>
      </w:pPr>
      <w:r w:rsidRPr="00D1279F">
        <w:rPr>
          <w:color w:val="000000"/>
          <w:sz w:val="21"/>
          <w:szCs w:val="21"/>
          <w:lang w:val="en-GB"/>
        </w:rPr>
        <w:t xml:space="preserve">The unifying logic model follows a </w:t>
      </w:r>
      <w:proofErr w:type="gramStart"/>
      <w:r w:rsidRPr="00D1279F">
        <w:rPr>
          <w:color w:val="000000"/>
          <w:sz w:val="21"/>
          <w:szCs w:val="21"/>
          <w:lang w:val="en-GB"/>
        </w:rPr>
        <w:t>habit forming</w:t>
      </w:r>
      <w:proofErr w:type="gramEnd"/>
      <w:r w:rsidRPr="00D1279F">
        <w:rPr>
          <w:color w:val="000000"/>
          <w:sz w:val="21"/>
          <w:szCs w:val="21"/>
          <w:lang w:val="en-GB"/>
        </w:rPr>
        <w:t xml:space="preserve"> pathway: </w:t>
      </w:r>
    </w:p>
    <w:p w14:paraId="144FE3B3" w14:textId="5AF66438" w:rsidR="00D1279F" w:rsidRPr="00D1279F" w:rsidRDefault="00D1279F" w:rsidP="00D1279F">
      <w:pPr>
        <w:rPr>
          <w:color w:val="000000"/>
          <w:sz w:val="21"/>
          <w:szCs w:val="21"/>
          <w:lang w:val="en-GB"/>
        </w:rPr>
      </w:pPr>
      <w:r w:rsidRPr="00D1279F">
        <w:rPr>
          <w:b/>
          <w:bCs/>
          <w:i/>
          <w:iCs/>
          <w:color w:val="000000"/>
          <w:sz w:val="21"/>
          <w:szCs w:val="21"/>
          <w:lang w:val="en-GB"/>
        </w:rPr>
        <w:t>Environments → Exposure → Repetition/automaticity → Habit formation → Stabilisation.</w:t>
      </w:r>
      <w:r w:rsidRPr="00D1279F">
        <w:rPr>
          <w:color w:val="000000"/>
          <w:sz w:val="21"/>
          <w:szCs w:val="21"/>
          <w:lang w:val="en-GB"/>
        </w:rPr>
        <w:t xml:space="preserve"> </w:t>
      </w:r>
    </w:p>
    <w:p w14:paraId="57DEFC61" w14:textId="77777777" w:rsidR="00D1279F" w:rsidRPr="00D1279F" w:rsidRDefault="00D1279F" w:rsidP="00D1279F">
      <w:pPr>
        <w:rPr>
          <w:sz w:val="21"/>
          <w:szCs w:val="21"/>
          <w:lang w:val="en-GB"/>
        </w:rPr>
      </w:pPr>
      <w:r w:rsidRPr="00D1279F">
        <w:rPr>
          <w:color w:val="000000"/>
          <w:sz w:val="21"/>
          <w:szCs w:val="21"/>
          <w:lang w:val="en-GB"/>
        </w:rPr>
        <w:t>Interventions enter at different points in this causal chain, constituting four complementary families: (G1) Exposure shaping — preventing habit formation by reducing harmful digital cues (defaults, marketing restrictions); (G2) Friction and interruption — slowing automatic repetition through speed bumps (quiet hours, age gates, cool-off periods); (G3) Agency scaffolding — rebuilding routines via self-regulation supports and feedback (wearables, goal-setting, commitment devices); (G4) Identity and norm stabilisation — locking in gains through peer norms, co-</w:t>
      </w:r>
      <w:r w:rsidRPr="00D1279F">
        <w:rPr>
          <w:color w:val="000000"/>
          <w:sz w:val="21"/>
          <w:szCs w:val="21"/>
          <w:lang w:val="en-GB"/>
        </w:rPr>
        <w:lastRenderedPageBreak/>
        <w:t>created identities and autonomy-framed inoculation. No single family is sufficient. Z-HEALTH will be the first project to implement all four families simultaneously within the same theoretical framework, across multiple countries and NCD domains.</w:t>
      </w:r>
    </w:p>
    <w:p w14:paraId="74E36CD4" w14:textId="77777777" w:rsidR="00D1279F" w:rsidRDefault="00D1279F" w:rsidP="00D1279F">
      <w:pPr>
        <w:rPr>
          <w:b/>
          <w:bCs/>
          <w:color w:val="333333"/>
          <w:sz w:val="20"/>
          <w:szCs w:val="20"/>
          <w:lang w:val="en-GB"/>
        </w:rPr>
      </w:pPr>
    </w:p>
    <w:p w14:paraId="28E9DBFD" w14:textId="2C1320F0" w:rsidR="00D1279F" w:rsidRPr="00D1279F" w:rsidRDefault="00D1279F" w:rsidP="00D1279F">
      <w:pPr>
        <w:rPr>
          <w:sz w:val="20"/>
          <w:szCs w:val="20"/>
          <w:lang w:val="en-GB"/>
        </w:rPr>
      </w:pPr>
      <w:r w:rsidRPr="00D1279F">
        <w:rPr>
          <w:b/>
          <w:bCs/>
          <w:color w:val="333333"/>
          <w:sz w:val="20"/>
          <w:szCs w:val="20"/>
          <w:lang w:val="en-GB"/>
        </w:rPr>
        <w:t>The Z-HEALTH Habit Pathway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7"/>
        <w:gridCol w:w="2087"/>
        <w:gridCol w:w="2087"/>
        <w:gridCol w:w="2087"/>
        <w:gridCol w:w="2118"/>
      </w:tblGrid>
      <w:tr w:rsidR="00D1279F" w:rsidRPr="00D1279F" w14:paraId="2A05235C"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2EA9323B" w14:textId="77777777" w:rsidR="00D1279F" w:rsidRPr="00D1279F" w:rsidRDefault="00D1279F" w:rsidP="00D1279F">
            <w:pPr>
              <w:jc w:val="center"/>
              <w:rPr>
                <w:lang w:val="en-GB"/>
              </w:rPr>
            </w:pPr>
            <w:r w:rsidRPr="00D1279F">
              <w:rPr>
                <w:b/>
                <w:bCs/>
                <w:color w:val="FFFFFF"/>
                <w:sz w:val="18"/>
                <w:szCs w:val="18"/>
                <w:lang w:val="en-GB"/>
              </w:rPr>
              <w:t>ENVIRONMENTS</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2BF8D98D" w14:textId="77777777" w:rsidR="00D1279F" w:rsidRPr="00D1279F" w:rsidRDefault="00D1279F" w:rsidP="00D1279F">
            <w:pPr>
              <w:jc w:val="center"/>
              <w:rPr>
                <w:lang w:val="en-GB"/>
              </w:rPr>
            </w:pPr>
            <w:r w:rsidRPr="00D1279F">
              <w:rPr>
                <w:b/>
                <w:bCs/>
                <w:color w:val="FFFFFF"/>
                <w:sz w:val="18"/>
                <w:szCs w:val="18"/>
                <w:lang w:val="en-GB"/>
              </w:rPr>
              <w:t>EXPOSURE</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04BEC114" w14:textId="77777777" w:rsidR="00D1279F" w:rsidRPr="00D1279F" w:rsidRDefault="00D1279F" w:rsidP="00D1279F">
            <w:pPr>
              <w:jc w:val="center"/>
              <w:rPr>
                <w:lang w:val="en-GB"/>
              </w:rPr>
            </w:pPr>
            <w:r w:rsidRPr="00D1279F">
              <w:rPr>
                <w:b/>
                <w:bCs/>
                <w:color w:val="FFFFFF"/>
                <w:sz w:val="18"/>
                <w:szCs w:val="18"/>
                <w:lang w:val="en-GB"/>
              </w:rPr>
              <w:t>REPETITION / AUTOMATICITY</w:t>
            </w:r>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2501E15A" w14:textId="77777777" w:rsidR="00D1279F" w:rsidRPr="00D1279F" w:rsidRDefault="00D1279F" w:rsidP="00D1279F">
            <w:pPr>
              <w:jc w:val="center"/>
              <w:rPr>
                <w:lang w:val="en-GB"/>
              </w:rPr>
            </w:pPr>
            <w:r w:rsidRPr="00D1279F">
              <w:rPr>
                <w:b/>
                <w:bCs/>
                <w:color w:val="FFFFFF"/>
                <w:sz w:val="18"/>
                <w:szCs w:val="18"/>
                <w:lang w:val="en-GB"/>
              </w:rPr>
              <w:t>HABIT FORMATION</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542EFF4E" w14:textId="77777777" w:rsidR="00D1279F" w:rsidRPr="00D1279F" w:rsidRDefault="00D1279F" w:rsidP="00D1279F">
            <w:pPr>
              <w:jc w:val="center"/>
              <w:rPr>
                <w:lang w:val="en-GB"/>
              </w:rPr>
            </w:pPr>
            <w:r w:rsidRPr="00D1279F">
              <w:rPr>
                <w:b/>
                <w:bCs/>
                <w:color w:val="FFFFFF"/>
                <w:sz w:val="18"/>
                <w:szCs w:val="18"/>
                <w:lang w:val="en-GB"/>
              </w:rPr>
              <w:t>STABILISATION (identity/norms)</w:t>
            </w:r>
          </w:p>
        </w:tc>
      </w:tr>
      <w:tr w:rsidR="00D1279F" w:rsidRPr="00D1279F" w14:paraId="53CBAD68"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1F4E79"/>
            <w:tcMar>
              <w:top w:w="80" w:type="dxa"/>
              <w:left w:w="120" w:type="dxa"/>
              <w:bottom w:w="80" w:type="dxa"/>
              <w:right w:w="120" w:type="dxa"/>
            </w:tcMar>
            <w:vAlign w:val="center"/>
          </w:tcPr>
          <w:p w14:paraId="222A59F7" w14:textId="77777777" w:rsidR="00D1279F" w:rsidRPr="00D1279F" w:rsidRDefault="00D1279F" w:rsidP="00D1279F">
            <w:pPr>
              <w:jc w:val="center"/>
              <w:rPr>
                <w:lang w:val="en-GB"/>
              </w:rPr>
            </w:pPr>
            <w:r w:rsidRPr="00D1279F">
              <w:rPr>
                <w:i/>
                <w:iCs/>
                <w:color w:val="FFFFFF"/>
                <w:sz w:val="17"/>
                <w:szCs w:val="17"/>
                <w:lang w:val="en-GB"/>
              </w:rPr>
              <w:t>Digital, social, institutional</w:t>
            </w:r>
          </w:p>
        </w:tc>
        <w:tc>
          <w:tcPr>
            <w:tcW w:w="997" w:type="pct"/>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vAlign w:val="center"/>
          </w:tcPr>
          <w:p w14:paraId="4DCA0E87" w14:textId="77777777" w:rsidR="00D1279F" w:rsidRPr="00D1279F" w:rsidRDefault="00D1279F" w:rsidP="00D1279F">
            <w:pPr>
              <w:jc w:val="center"/>
              <w:rPr>
                <w:lang w:val="en-GB"/>
              </w:rPr>
            </w:pPr>
            <w:r w:rsidRPr="00D1279F">
              <w:rPr>
                <w:i/>
                <w:iCs/>
                <w:color w:val="FFFFFF"/>
                <w:sz w:val="17"/>
                <w:szCs w:val="17"/>
                <w:lang w:val="en-GB"/>
              </w:rPr>
              <w:t>Algorithms, marketing, misinformation</w:t>
            </w:r>
          </w:p>
        </w:tc>
        <w:tc>
          <w:tcPr>
            <w:tcW w:w="997" w:type="pct"/>
            <w:tcBorders>
              <w:top w:val="none" w:sz="0" w:space="0" w:color="FFFFFF"/>
              <w:left w:val="none" w:sz="0" w:space="0" w:color="FFFFFF"/>
              <w:bottom w:val="none" w:sz="0" w:space="0" w:color="FFFFFF"/>
              <w:right w:val="none" w:sz="0" w:space="0" w:color="FFFFFF"/>
            </w:tcBorders>
            <w:shd w:val="clear" w:color="auto" w:fill="2563A8"/>
            <w:tcMar>
              <w:top w:w="80" w:type="dxa"/>
              <w:left w:w="120" w:type="dxa"/>
              <w:bottom w:w="80" w:type="dxa"/>
              <w:right w:w="120" w:type="dxa"/>
            </w:tcMar>
            <w:vAlign w:val="center"/>
          </w:tcPr>
          <w:p w14:paraId="5B9C3AEA" w14:textId="77777777" w:rsidR="00D1279F" w:rsidRPr="00D1279F" w:rsidRDefault="00D1279F" w:rsidP="00D1279F">
            <w:pPr>
              <w:jc w:val="center"/>
              <w:rPr>
                <w:lang w:val="en-GB"/>
              </w:rPr>
            </w:pPr>
            <w:r w:rsidRPr="00D1279F">
              <w:rPr>
                <w:i/>
                <w:iCs/>
                <w:color w:val="FFFFFF"/>
                <w:sz w:val="17"/>
                <w:szCs w:val="17"/>
                <w:lang w:val="en-GB"/>
              </w:rPr>
              <w:t xml:space="preserve">Fast, frictionless, </w:t>
            </w:r>
            <w:proofErr w:type="gramStart"/>
            <w:r w:rsidRPr="00D1279F">
              <w:rPr>
                <w:i/>
                <w:iCs/>
                <w:color w:val="FFFFFF"/>
                <w:sz w:val="17"/>
                <w:szCs w:val="17"/>
                <w:lang w:val="en-GB"/>
              </w:rPr>
              <w:t>high-frequency</w:t>
            </w:r>
            <w:proofErr w:type="gramEnd"/>
          </w:p>
        </w:tc>
        <w:tc>
          <w:tcPr>
            <w:tcW w:w="997" w:type="pct"/>
            <w:tcBorders>
              <w:top w:val="none" w:sz="0" w:space="0" w:color="FFFFFF"/>
              <w:left w:val="none" w:sz="0" w:space="0" w:color="FFFFFF"/>
              <w:bottom w:val="none" w:sz="0" w:space="0" w:color="FFFFFF"/>
              <w:right w:val="none" w:sz="0" w:space="0" w:color="FFFFFF"/>
            </w:tcBorders>
            <w:shd w:val="clear" w:color="auto" w:fill="1E6E4A"/>
            <w:tcMar>
              <w:top w:w="80" w:type="dxa"/>
              <w:left w:w="120" w:type="dxa"/>
              <w:bottom w:w="80" w:type="dxa"/>
              <w:right w:w="120" w:type="dxa"/>
            </w:tcMar>
            <w:vAlign w:val="center"/>
          </w:tcPr>
          <w:p w14:paraId="138D161A" w14:textId="77777777" w:rsidR="00D1279F" w:rsidRPr="00D1279F" w:rsidRDefault="00D1279F" w:rsidP="00D1279F">
            <w:pPr>
              <w:jc w:val="center"/>
              <w:rPr>
                <w:lang w:val="en-GB"/>
              </w:rPr>
            </w:pPr>
            <w:r w:rsidRPr="00D1279F">
              <w:rPr>
                <w:i/>
                <w:iCs/>
                <w:color w:val="FFFFFF"/>
                <w:sz w:val="17"/>
                <w:szCs w:val="17"/>
                <w:lang w:val="en-GB"/>
              </w:rPr>
              <w:t>Routine, automatic, rewarding</w:t>
            </w:r>
          </w:p>
        </w:tc>
        <w:tc>
          <w:tcPr>
            <w:tcW w:w="1012" w:type="pct"/>
            <w:tcBorders>
              <w:top w:val="none" w:sz="0" w:space="0" w:color="FFFFFF"/>
              <w:left w:val="none" w:sz="0" w:space="0" w:color="FFFFFF"/>
              <w:bottom w:val="none" w:sz="0" w:space="0" w:color="FFFFFF"/>
              <w:right w:val="none" w:sz="0" w:space="0" w:color="FFFFFF"/>
            </w:tcBorders>
            <w:shd w:val="clear" w:color="auto" w:fill="5B2C8B"/>
            <w:tcMar>
              <w:top w:w="80" w:type="dxa"/>
              <w:left w:w="120" w:type="dxa"/>
              <w:bottom w:w="80" w:type="dxa"/>
              <w:right w:w="120" w:type="dxa"/>
            </w:tcMar>
            <w:vAlign w:val="center"/>
          </w:tcPr>
          <w:p w14:paraId="269596EC" w14:textId="77777777" w:rsidR="00D1279F" w:rsidRPr="00D1279F" w:rsidRDefault="00D1279F" w:rsidP="00D1279F">
            <w:pPr>
              <w:jc w:val="center"/>
              <w:rPr>
                <w:lang w:val="en-GB"/>
              </w:rPr>
            </w:pPr>
            <w:r w:rsidRPr="00D1279F">
              <w:rPr>
                <w:i/>
                <w:iCs/>
                <w:color w:val="FFFFFF"/>
                <w:sz w:val="17"/>
                <w:szCs w:val="17"/>
                <w:lang w:val="en-GB"/>
              </w:rPr>
              <w:t>Peer norms, identity, social signals</w:t>
            </w:r>
          </w:p>
        </w:tc>
      </w:tr>
      <w:tr w:rsidR="00D1279F" w:rsidRPr="00D1279F" w14:paraId="6FC862D6" w14:textId="77777777" w:rsidTr="00073DD7">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7C8482C" w14:textId="77777777" w:rsidR="00D1279F" w:rsidRPr="00D1279F" w:rsidRDefault="00D1279F" w:rsidP="00D1279F">
            <w:pPr>
              <w:jc w:val="center"/>
              <w:rPr>
                <w:lang w:val="en-GB"/>
              </w:rPr>
            </w:pPr>
            <w:r w:rsidRPr="00D1279F">
              <w:rPr>
                <w:b/>
                <w:bCs/>
                <w:color w:val="1F4E79"/>
                <w:sz w:val="17"/>
                <w:szCs w:val="17"/>
                <w:lang w:val="en-GB"/>
              </w:rPr>
              <w:t>G1: Exposure shaping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69858E35" w14:textId="77777777" w:rsidR="00D1279F" w:rsidRPr="00D1279F" w:rsidRDefault="00D1279F" w:rsidP="00D1279F">
            <w:pPr>
              <w:jc w:val="center"/>
              <w:rPr>
                <w:lang w:val="en-GB"/>
              </w:rPr>
            </w:pPr>
            <w:r w:rsidRPr="00D1279F">
              <w:rPr>
                <w:b/>
                <w:bCs/>
                <w:color w:val="2E75B6"/>
                <w:sz w:val="17"/>
                <w:szCs w:val="17"/>
                <w:lang w:val="en-GB"/>
              </w:rPr>
              <w:t>G2: Friction &amp; interruption</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43AD795F" w14:textId="77777777" w:rsidR="00D1279F" w:rsidRPr="00D1279F" w:rsidRDefault="00D1279F" w:rsidP="00D1279F">
            <w:pPr>
              <w:jc w:val="center"/>
              <w:rPr>
                <w:lang w:val="en-GB"/>
              </w:rPr>
            </w:pPr>
            <w:r w:rsidRPr="00D1279F">
              <w:rPr>
                <w:b/>
                <w:bCs/>
                <w:color w:val="2563A8"/>
                <w:sz w:val="17"/>
                <w:szCs w:val="17"/>
                <w:lang w:val="en-GB"/>
              </w:rPr>
              <w:t>G3: Agency scaffolding</w:t>
            </w:r>
          </w:p>
        </w:tc>
        <w:tc>
          <w:tcPr>
            <w:tcW w:w="997"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7115FD7D" w14:textId="77777777" w:rsidR="00D1279F" w:rsidRPr="00D1279F" w:rsidRDefault="00D1279F" w:rsidP="00D1279F">
            <w:pPr>
              <w:jc w:val="center"/>
              <w:rPr>
                <w:lang w:val="en-GB"/>
              </w:rPr>
            </w:pPr>
            <w:r w:rsidRPr="00D1279F">
              <w:rPr>
                <w:b/>
                <w:bCs/>
                <w:color w:val="1E6E4A"/>
                <w:sz w:val="17"/>
                <w:szCs w:val="17"/>
                <w:lang w:val="en-GB"/>
              </w:rPr>
              <w:t>G4: Identity / norm stabilisation</w:t>
            </w:r>
          </w:p>
        </w:tc>
        <w:tc>
          <w:tcPr>
            <w:tcW w:w="1012" w:type="pct"/>
            <w:tcBorders>
              <w:top w:val="none" w:sz="0" w:space="0" w:color="FFFFFF"/>
              <w:left w:val="none" w:sz="0" w:space="0" w:color="FFFFFF"/>
              <w:bottom w:val="none" w:sz="0" w:space="0" w:color="FFFFFF"/>
              <w:right w:val="none" w:sz="0" w:space="0" w:color="FFFFFF"/>
            </w:tcBorders>
            <w:shd w:val="clear" w:color="auto" w:fill="F4F4F4"/>
            <w:tcMar>
              <w:top w:w="80" w:type="dxa"/>
              <w:left w:w="120" w:type="dxa"/>
              <w:bottom w:w="80" w:type="dxa"/>
              <w:right w:w="120" w:type="dxa"/>
            </w:tcMar>
            <w:vAlign w:val="center"/>
          </w:tcPr>
          <w:p w14:paraId="73AA854A" w14:textId="77777777" w:rsidR="00D1279F" w:rsidRPr="00D1279F" w:rsidRDefault="00D1279F" w:rsidP="00D1279F">
            <w:pPr>
              <w:jc w:val="center"/>
              <w:rPr>
                <w:lang w:val="en-GB"/>
              </w:rPr>
            </w:pPr>
            <w:r w:rsidRPr="00D1279F">
              <w:rPr>
                <w:b/>
                <w:bCs/>
                <w:color w:val="5B2C8B"/>
                <w:sz w:val="17"/>
                <w:szCs w:val="17"/>
                <w:lang w:val="en-GB"/>
              </w:rPr>
              <w:t>Policy uptake &amp; scale-out</w:t>
            </w:r>
          </w:p>
        </w:tc>
      </w:tr>
    </w:tbl>
    <w:p w14:paraId="7584AECA" w14:textId="1C771F6A" w:rsidR="00D1279F" w:rsidRPr="00D1279F" w:rsidRDefault="00D1279F" w:rsidP="00D1279F">
      <w:pPr>
        <w:rPr>
          <w:lang w:val="en-GB"/>
        </w:rPr>
      </w:pPr>
      <w:r w:rsidRPr="00D1279F">
        <w:rPr>
          <w:i/>
          <w:iCs/>
          <w:color w:val="666666"/>
          <w:sz w:val="17"/>
          <w:szCs w:val="17"/>
          <w:lang w:val="en-GB"/>
        </w:rPr>
        <w:t xml:space="preserve">The Z-HEALTH habit pathway and corresponding intervention families </w:t>
      </w:r>
    </w:p>
    <w:p w14:paraId="7E326FBE" w14:textId="254B794D" w:rsidR="00D1279F" w:rsidRPr="00D1279F" w:rsidRDefault="00D1279F" w:rsidP="00D1279F">
      <w:pPr>
        <w:pStyle w:val="Titolo3"/>
        <w:spacing w:before="0" w:after="0"/>
        <w:rPr>
          <w:lang w:val="en-GB"/>
        </w:rPr>
      </w:pPr>
      <w:r w:rsidRPr="00D1279F">
        <w:rPr>
          <w:sz w:val="32"/>
          <w:szCs w:val="32"/>
        </w:rPr>
        <w:drawing>
          <wp:anchor distT="0" distB="0" distL="114300" distR="114300" simplePos="0" relativeHeight="251658240" behindDoc="0" locked="0" layoutInCell="1" allowOverlap="1" wp14:anchorId="29DD4323" wp14:editId="089F7984">
            <wp:simplePos x="0" y="0"/>
            <wp:positionH relativeFrom="column">
              <wp:posOffset>3345815</wp:posOffset>
            </wp:positionH>
            <wp:positionV relativeFrom="paragraph">
              <wp:posOffset>146145</wp:posOffset>
            </wp:positionV>
            <wp:extent cx="3247390" cy="2645410"/>
            <wp:effectExtent l="0" t="0" r="3810" b="0"/>
            <wp:wrapSquare wrapText="bothSides"/>
            <wp:docPr id="3" name="Picture 2" descr="Immagine che contiene mappa, testo&#10;&#10;Il contenuto generato dall'IA potrebbe non essere corretto.">
              <a:extLst xmlns:a="http://schemas.openxmlformats.org/drawingml/2006/main">
                <a:ext uri="{FF2B5EF4-FFF2-40B4-BE49-F238E27FC236}">
                  <a16:creationId xmlns:a16="http://schemas.microsoft.com/office/drawing/2014/main" id="{950C745F-CE13-7D0B-A239-4BA16B9274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magine che contiene mappa, testo&#10;&#10;Il contenuto generato dall'IA potrebbe non essere corretto.">
                      <a:extLst>
                        <a:ext uri="{FF2B5EF4-FFF2-40B4-BE49-F238E27FC236}">
                          <a16:creationId xmlns:a16="http://schemas.microsoft.com/office/drawing/2014/main" id="{950C745F-CE13-7D0B-A239-4BA16B92744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9616" r="20228" b="3232"/>
                    <a:stretch>
                      <a:fillRect/>
                    </a:stretch>
                  </pic:blipFill>
                  <pic:spPr bwMode="auto">
                    <a:xfrm>
                      <a:off x="0" y="0"/>
                      <a:ext cx="3247390" cy="2645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19024C" w14:textId="6AC01BF8" w:rsidR="00D1279F" w:rsidRDefault="00D1279F" w:rsidP="00D1279F">
      <w:pPr>
        <w:pStyle w:val="Titolo3"/>
        <w:spacing w:before="0" w:after="0"/>
        <w:rPr>
          <w:b/>
          <w:bCs/>
          <w:sz w:val="21"/>
          <w:szCs w:val="21"/>
          <w:lang w:val="en-GB"/>
        </w:rPr>
      </w:pPr>
    </w:p>
    <w:p w14:paraId="6FF5CFAB" w14:textId="39BD113F" w:rsidR="00D1279F" w:rsidRPr="00D1279F" w:rsidRDefault="00D1279F" w:rsidP="00D1279F">
      <w:pPr>
        <w:pStyle w:val="Titolo3"/>
        <w:spacing w:before="0" w:after="0"/>
        <w:rPr>
          <w:sz w:val="21"/>
          <w:szCs w:val="21"/>
          <w:lang w:val="en-GB"/>
        </w:rPr>
      </w:pPr>
      <w:r w:rsidRPr="00D1279F">
        <w:rPr>
          <w:b/>
          <w:bCs/>
          <w:sz w:val="21"/>
          <w:szCs w:val="21"/>
          <w:lang w:val="en-GB"/>
        </w:rPr>
        <w:t>The G1–G4 intervention framework</w:t>
      </w:r>
    </w:p>
    <w:p w14:paraId="34C6B86B" w14:textId="6E24754B" w:rsidR="00D1279F" w:rsidRDefault="00D1279F" w:rsidP="00D1279F">
      <w:pPr>
        <w:jc w:val="both"/>
        <w:rPr>
          <w:sz w:val="20"/>
          <w:szCs w:val="20"/>
          <w:lang w:val="en-GB"/>
        </w:rPr>
      </w:pPr>
    </w:p>
    <w:p w14:paraId="3BC7683D" w14:textId="77777777" w:rsidR="00D1279F" w:rsidRDefault="00D1279F" w:rsidP="00D1279F">
      <w:pPr>
        <w:jc w:val="both"/>
        <w:rPr>
          <w:sz w:val="20"/>
          <w:szCs w:val="20"/>
          <w:lang w:val="en-GB"/>
        </w:rPr>
      </w:pPr>
      <w:r w:rsidRPr="00D1279F">
        <w:rPr>
          <w:sz w:val="20"/>
          <w:szCs w:val="20"/>
          <w:lang w:val="en-GB"/>
        </w:rPr>
        <w:t xml:space="preserve">The G1–G4 framework is the </w:t>
      </w:r>
      <w:r w:rsidRPr="00D1279F">
        <w:rPr>
          <w:b/>
          <w:bCs/>
          <w:sz w:val="20"/>
          <w:szCs w:val="20"/>
          <w:lang w:val="en-GB"/>
        </w:rPr>
        <w:t>primary organising architecture</w:t>
      </w:r>
      <w:r w:rsidRPr="00D1279F">
        <w:rPr>
          <w:sz w:val="20"/>
          <w:szCs w:val="20"/>
          <w:lang w:val="en-GB"/>
        </w:rPr>
        <w:t xml:space="preserve"> of Z-HEALTH. Every work package, every study design, and every partner role is structured around these four intervention families, applied across all three disease conditions. </w:t>
      </w:r>
    </w:p>
    <w:p w14:paraId="7613B44A" w14:textId="77777777" w:rsidR="00D1279F" w:rsidRDefault="00D1279F" w:rsidP="00D1279F">
      <w:pPr>
        <w:jc w:val="both"/>
        <w:rPr>
          <w:sz w:val="20"/>
          <w:szCs w:val="20"/>
          <w:lang w:val="en-GB"/>
        </w:rPr>
      </w:pPr>
    </w:p>
    <w:p w14:paraId="442CD8DE" w14:textId="6BF6CC97" w:rsidR="00D1279F" w:rsidRDefault="00D1279F" w:rsidP="00D1279F">
      <w:pPr>
        <w:jc w:val="both"/>
        <w:rPr>
          <w:sz w:val="20"/>
          <w:szCs w:val="20"/>
          <w:lang w:val="en-GB"/>
        </w:rPr>
      </w:pPr>
      <w:r w:rsidRPr="00D1279F">
        <w:rPr>
          <w:sz w:val="20"/>
          <w:szCs w:val="20"/>
          <w:lang w:val="en-GB"/>
        </w:rPr>
        <w:t xml:space="preserve">The framework is not new in concept — it synthesises </w:t>
      </w:r>
      <w:proofErr w:type="spellStart"/>
      <w:r w:rsidRPr="00D1279F">
        <w:rPr>
          <w:sz w:val="20"/>
          <w:szCs w:val="20"/>
          <w:lang w:val="en-GB"/>
        </w:rPr>
        <w:t>Miraldo's</w:t>
      </w:r>
      <w:proofErr w:type="spellEnd"/>
      <w:r w:rsidRPr="00D1279F">
        <w:rPr>
          <w:sz w:val="20"/>
          <w:szCs w:val="20"/>
          <w:lang w:val="en-GB"/>
        </w:rPr>
        <w:t xml:space="preserve"> bundling logic, </w:t>
      </w:r>
      <w:proofErr w:type="spellStart"/>
      <w:r w:rsidRPr="00D1279F">
        <w:rPr>
          <w:sz w:val="20"/>
          <w:szCs w:val="20"/>
          <w:lang w:val="en-GB"/>
        </w:rPr>
        <w:t>Verplanken's</w:t>
      </w:r>
      <w:proofErr w:type="spellEnd"/>
      <w:r w:rsidRPr="00D1279F">
        <w:rPr>
          <w:sz w:val="20"/>
          <w:szCs w:val="20"/>
          <w:lang w:val="en-GB"/>
        </w:rPr>
        <w:t xml:space="preserve"> habit discontinuity hypothesis, and the growing literature on structural versus empowerment approaches to behaviour change — but Z-HEALTH is the first project to operationalise all four families simultaneously across multiple NCDs, multiple countries, and multiple life-stage windows.</w:t>
      </w:r>
    </w:p>
    <w:p w14:paraId="5A447CBE" w14:textId="77777777" w:rsidR="00D1279F" w:rsidRDefault="00D1279F" w:rsidP="00D1279F">
      <w:pPr>
        <w:rPr>
          <w:i/>
          <w:iCs/>
          <w:color w:val="666666"/>
          <w:sz w:val="17"/>
          <w:szCs w:val="17"/>
          <w:lang w:val="en-GB"/>
        </w:rPr>
      </w:pPr>
    </w:p>
    <w:p w14:paraId="304EC69F" w14:textId="672EEC08" w:rsidR="00D1279F" w:rsidRPr="00D1279F" w:rsidRDefault="00D1279F" w:rsidP="00D1279F">
      <w:pPr>
        <w:ind w:left="4956"/>
        <w:rPr>
          <w:lang w:val="en-GB"/>
        </w:rPr>
      </w:pPr>
      <w:r>
        <w:rPr>
          <w:i/>
          <w:iCs/>
          <w:color w:val="666666"/>
          <w:sz w:val="17"/>
          <w:szCs w:val="17"/>
          <w:lang w:val="en-GB"/>
        </w:rPr>
        <w:t xml:space="preserve">         </w:t>
      </w:r>
      <w:r w:rsidRPr="00D1279F">
        <w:rPr>
          <w:i/>
          <w:iCs/>
          <w:color w:val="666666"/>
          <w:sz w:val="17"/>
          <w:szCs w:val="17"/>
          <w:lang w:val="en-GB"/>
        </w:rPr>
        <w:t xml:space="preserve">The Z-HEALTH habit pathway and corresponding intervention families </w:t>
      </w:r>
    </w:p>
    <w:p w14:paraId="2716C9F7" w14:textId="77777777" w:rsidR="00D1279F" w:rsidRPr="00D1279F" w:rsidRDefault="00D1279F" w:rsidP="00D1279F">
      <w:pPr>
        <w:jc w:val="both"/>
        <w:rPr>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0"/>
        <w:gridCol w:w="2187"/>
        <w:gridCol w:w="2112"/>
        <w:gridCol w:w="2275"/>
        <w:gridCol w:w="2350"/>
      </w:tblGrid>
      <w:tr w:rsidR="00D1279F" w:rsidRPr="00D1279F" w14:paraId="0A6BE9B1"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7889F55" w14:textId="77777777" w:rsidR="00D1279F" w:rsidRPr="00D1279F" w:rsidRDefault="00D1279F" w:rsidP="00D1279F">
            <w:pPr>
              <w:spacing w:line="240" w:lineRule="atLeast"/>
              <w:rPr>
                <w:sz w:val="20"/>
                <w:szCs w:val="20"/>
                <w:lang w:val="en-GB"/>
              </w:rPr>
            </w:pPr>
          </w:p>
        </w:tc>
        <w:tc>
          <w:tcPr>
            <w:tcW w:w="1045"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1F553BD3" w14:textId="77777777" w:rsidR="00D1279F" w:rsidRPr="00D1279F" w:rsidRDefault="00D1279F" w:rsidP="00D1279F">
            <w:pPr>
              <w:spacing w:line="240" w:lineRule="atLeast"/>
              <w:rPr>
                <w:sz w:val="20"/>
                <w:szCs w:val="20"/>
                <w:lang w:val="en-GB"/>
              </w:rPr>
            </w:pPr>
            <w:r w:rsidRPr="00D1279F">
              <w:rPr>
                <w:b/>
                <w:bCs/>
                <w:sz w:val="20"/>
                <w:szCs w:val="20"/>
                <w:lang w:val="en-GB"/>
              </w:rPr>
              <w:t>G1 — Exposure Shaping Prevent habits forming by reducing harmful digital cues</w:t>
            </w:r>
          </w:p>
        </w:tc>
        <w:tc>
          <w:tcPr>
            <w:tcW w:w="1009"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23E4CD1E" w14:textId="77777777" w:rsidR="00D1279F" w:rsidRPr="00D1279F" w:rsidRDefault="00D1279F" w:rsidP="00D1279F">
            <w:pPr>
              <w:spacing w:line="240" w:lineRule="atLeast"/>
              <w:rPr>
                <w:sz w:val="20"/>
                <w:szCs w:val="20"/>
                <w:lang w:val="en-GB"/>
              </w:rPr>
            </w:pPr>
            <w:r w:rsidRPr="00D1279F">
              <w:rPr>
                <w:b/>
                <w:bCs/>
                <w:sz w:val="20"/>
                <w:szCs w:val="20"/>
                <w:lang w:val="en-GB"/>
              </w:rPr>
              <w:t xml:space="preserve">G2 — Friction &amp; Interruption Slow automatic repetition through design </w:t>
            </w:r>
            <w:proofErr w:type="gramStart"/>
            <w:r w:rsidRPr="00D1279F">
              <w:rPr>
                <w:b/>
                <w:bCs/>
                <w:sz w:val="20"/>
                <w:szCs w:val="20"/>
                <w:lang w:val="en-GB"/>
              </w:rPr>
              <w:t>speed-bumps</w:t>
            </w:r>
            <w:proofErr w:type="gramEnd"/>
          </w:p>
        </w:tc>
        <w:tc>
          <w:tcPr>
            <w:tcW w:w="1087"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1B9DCBF8" w14:textId="77777777" w:rsidR="00D1279F" w:rsidRPr="00D1279F" w:rsidRDefault="00D1279F" w:rsidP="00D1279F">
            <w:pPr>
              <w:spacing w:line="240" w:lineRule="atLeast"/>
              <w:rPr>
                <w:sz w:val="20"/>
                <w:szCs w:val="20"/>
                <w:lang w:val="en-GB"/>
              </w:rPr>
            </w:pPr>
            <w:r w:rsidRPr="00D1279F">
              <w:rPr>
                <w:b/>
                <w:bCs/>
                <w:sz w:val="20"/>
                <w:szCs w:val="20"/>
                <w:lang w:val="en-GB"/>
              </w:rPr>
              <w:t>G3 — Agency Scaffolding Rebuild routines via self-regulation, feedback, tools</w:t>
            </w:r>
          </w:p>
        </w:tc>
        <w:tc>
          <w:tcPr>
            <w:tcW w:w="1123" w:type="pct"/>
            <w:tcBorders>
              <w:top w:val="single" w:sz="1" w:space="0" w:color="AAAAAA"/>
              <w:left w:val="single" w:sz="1" w:space="0" w:color="AAAAAA"/>
              <w:bottom w:val="single" w:sz="1" w:space="0" w:color="AAAAAA"/>
              <w:right w:val="single" w:sz="1" w:space="0" w:color="AAAAAA"/>
            </w:tcBorders>
            <w:shd w:val="clear" w:color="auto" w:fill="D0D9F0"/>
            <w:tcMar>
              <w:top w:w="60" w:type="dxa"/>
              <w:left w:w="100" w:type="dxa"/>
              <w:bottom w:w="60" w:type="dxa"/>
              <w:right w:w="100" w:type="dxa"/>
            </w:tcMar>
          </w:tcPr>
          <w:p w14:paraId="0FA6BB4B" w14:textId="77777777" w:rsidR="00D1279F" w:rsidRPr="00D1279F" w:rsidRDefault="00D1279F" w:rsidP="00D1279F">
            <w:pPr>
              <w:spacing w:line="240" w:lineRule="atLeast"/>
              <w:rPr>
                <w:sz w:val="20"/>
                <w:szCs w:val="20"/>
                <w:lang w:val="en-GB"/>
              </w:rPr>
            </w:pPr>
            <w:r w:rsidRPr="00D1279F">
              <w:rPr>
                <w:b/>
                <w:bCs/>
                <w:sz w:val="20"/>
                <w:szCs w:val="20"/>
                <w:lang w:val="en-GB"/>
              </w:rPr>
              <w:t>G4 — Identity/Norm Stabilisation Lock in gains through peer norms and co-created identities</w:t>
            </w:r>
          </w:p>
        </w:tc>
      </w:tr>
      <w:tr w:rsidR="00D1279F" w:rsidRPr="00D1279F" w14:paraId="5D4D6FBE"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8F0DCAD" w14:textId="31C0767E" w:rsidR="00D1279F" w:rsidRPr="00D1279F" w:rsidRDefault="00D1279F" w:rsidP="00D1279F">
            <w:pPr>
              <w:spacing w:line="240" w:lineRule="atLeast"/>
              <w:rPr>
                <w:sz w:val="20"/>
                <w:szCs w:val="20"/>
                <w:lang w:val="en-GB"/>
              </w:rPr>
            </w:pPr>
            <w:r w:rsidRPr="00D1279F">
              <w:rPr>
                <w:sz w:val="20"/>
                <w:szCs w:val="20"/>
                <w:lang w:val="en-GB"/>
              </w:rPr>
              <w:t>Agency</w:t>
            </w:r>
            <w:r>
              <w:rPr>
                <w:sz w:val="20"/>
                <w:szCs w:val="20"/>
                <w:lang w:val="en-GB"/>
              </w:rPr>
              <w:t xml:space="preserve"> </w:t>
            </w:r>
            <w:r w:rsidRPr="00D1279F">
              <w:rPr>
                <w:sz w:val="20"/>
                <w:szCs w:val="20"/>
                <w:lang w:val="en-GB"/>
              </w:rPr>
              <w:t>required</w:t>
            </w:r>
          </w:p>
        </w:tc>
        <w:tc>
          <w:tcPr>
            <w:tcW w:w="1045"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7B4ECD95" w14:textId="77777777" w:rsidR="00D1279F" w:rsidRPr="00D1279F" w:rsidRDefault="00D1279F" w:rsidP="00D1279F">
            <w:pPr>
              <w:spacing w:line="240" w:lineRule="atLeast"/>
              <w:rPr>
                <w:sz w:val="20"/>
                <w:szCs w:val="20"/>
                <w:lang w:val="en-GB"/>
              </w:rPr>
            </w:pPr>
            <w:r w:rsidRPr="00D1279F">
              <w:rPr>
                <w:sz w:val="20"/>
                <w:szCs w:val="20"/>
                <w:lang w:val="en-GB"/>
              </w:rPr>
              <w:t>None (structural)</w:t>
            </w:r>
          </w:p>
        </w:tc>
        <w:tc>
          <w:tcPr>
            <w:tcW w:w="1009"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1931CD2F" w14:textId="77777777" w:rsidR="00D1279F" w:rsidRPr="00D1279F" w:rsidRDefault="00D1279F" w:rsidP="00D1279F">
            <w:pPr>
              <w:spacing w:line="240" w:lineRule="atLeast"/>
              <w:rPr>
                <w:sz w:val="20"/>
                <w:szCs w:val="20"/>
                <w:lang w:val="en-GB"/>
              </w:rPr>
            </w:pPr>
            <w:r w:rsidRPr="00D1279F">
              <w:rPr>
                <w:sz w:val="20"/>
                <w:szCs w:val="20"/>
                <w:lang w:val="en-GB"/>
              </w:rPr>
              <w:t>Low (design nudge)</w:t>
            </w:r>
          </w:p>
        </w:tc>
        <w:tc>
          <w:tcPr>
            <w:tcW w:w="1087"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269947E3" w14:textId="77777777" w:rsidR="00D1279F" w:rsidRPr="00D1279F" w:rsidRDefault="00D1279F" w:rsidP="00D1279F">
            <w:pPr>
              <w:spacing w:line="240" w:lineRule="atLeast"/>
              <w:rPr>
                <w:sz w:val="20"/>
                <w:szCs w:val="20"/>
                <w:lang w:val="en-GB"/>
              </w:rPr>
            </w:pPr>
            <w:r w:rsidRPr="00D1279F">
              <w:rPr>
                <w:sz w:val="20"/>
                <w:szCs w:val="20"/>
                <w:lang w:val="en-GB"/>
              </w:rPr>
              <w:t>Moderate (self-regulation)</w:t>
            </w:r>
          </w:p>
        </w:tc>
        <w:tc>
          <w:tcPr>
            <w:tcW w:w="1123" w:type="pct"/>
            <w:tcBorders>
              <w:top w:val="single" w:sz="1" w:space="0" w:color="AAAAAA"/>
              <w:left w:val="single" w:sz="1" w:space="0" w:color="AAAAAA"/>
              <w:bottom w:val="single" w:sz="1" w:space="0" w:color="AAAAAA"/>
              <w:right w:val="single" w:sz="1" w:space="0" w:color="AAAAAA"/>
            </w:tcBorders>
            <w:shd w:val="clear" w:color="auto" w:fill="EEF0FA"/>
            <w:tcMar>
              <w:top w:w="60" w:type="dxa"/>
              <w:left w:w="100" w:type="dxa"/>
              <w:bottom w:w="60" w:type="dxa"/>
              <w:right w:w="100" w:type="dxa"/>
            </w:tcMar>
          </w:tcPr>
          <w:p w14:paraId="616791B3" w14:textId="77777777" w:rsidR="00D1279F" w:rsidRPr="00D1279F" w:rsidRDefault="00D1279F" w:rsidP="00D1279F">
            <w:pPr>
              <w:spacing w:line="240" w:lineRule="atLeast"/>
              <w:rPr>
                <w:sz w:val="20"/>
                <w:szCs w:val="20"/>
                <w:lang w:val="en-GB"/>
              </w:rPr>
            </w:pPr>
            <w:r w:rsidRPr="00D1279F">
              <w:rPr>
                <w:sz w:val="20"/>
                <w:szCs w:val="20"/>
                <w:lang w:val="en-GB"/>
              </w:rPr>
              <w:t>High (identity/social)</w:t>
            </w:r>
          </w:p>
        </w:tc>
      </w:tr>
      <w:tr w:rsidR="00D1279F" w:rsidRPr="00D1279F" w14:paraId="20B2AC4F"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FFE8CC"/>
            <w:tcMar>
              <w:top w:w="60" w:type="dxa"/>
              <w:left w:w="100" w:type="dxa"/>
              <w:bottom w:w="60" w:type="dxa"/>
              <w:right w:w="100" w:type="dxa"/>
            </w:tcMar>
          </w:tcPr>
          <w:p w14:paraId="7EC4C58E" w14:textId="77777777" w:rsidR="00D1279F" w:rsidRPr="00D1279F" w:rsidRDefault="00D1279F" w:rsidP="00D1279F">
            <w:pPr>
              <w:spacing w:line="240" w:lineRule="atLeast"/>
              <w:rPr>
                <w:sz w:val="20"/>
                <w:szCs w:val="20"/>
                <w:lang w:val="en-GB"/>
              </w:rPr>
            </w:pPr>
            <w:r w:rsidRPr="00D1279F">
              <w:rPr>
                <w:sz w:val="20"/>
                <w:szCs w:val="20"/>
                <w:lang w:val="en-GB"/>
              </w:rPr>
              <w:t>Obesity</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DDBCA40" w14:textId="77777777" w:rsidR="00D1279F" w:rsidRPr="00D1279F" w:rsidRDefault="00D1279F" w:rsidP="00D1279F">
            <w:pPr>
              <w:spacing w:line="240" w:lineRule="atLeast"/>
              <w:rPr>
                <w:sz w:val="20"/>
                <w:szCs w:val="20"/>
                <w:lang w:val="en-GB"/>
              </w:rPr>
            </w:pPr>
            <w:r w:rsidRPr="00D1279F">
              <w:rPr>
                <w:sz w:val="20"/>
                <w:szCs w:val="20"/>
                <w:lang w:val="en-GB"/>
              </w:rPr>
              <w:t>UPF marketing restrictions (DSA natural experiments); front-of-pack label defaults; school food environment redesign; smartphone ban evaluation → dietary behaviour</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53EAE838" w14:textId="77777777" w:rsidR="00D1279F" w:rsidRPr="00D1279F" w:rsidRDefault="00D1279F" w:rsidP="00D1279F">
            <w:pPr>
              <w:spacing w:line="240" w:lineRule="atLeast"/>
              <w:rPr>
                <w:sz w:val="20"/>
                <w:szCs w:val="20"/>
                <w:lang w:val="en-GB"/>
              </w:rPr>
            </w:pPr>
            <w:r w:rsidRPr="00D1279F">
              <w:rPr>
                <w:sz w:val="20"/>
                <w:szCs w:val="20"/>
                <w:lang w:val="en-GB"/>
              </w:rPr>
              <w:t>Cafeteria choice architecture (default healthy options); checkout friction in food delivery apps; quiet hours reducing late-night snacking cues</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75DB868E" w14:textId="77777777" w:rsidR="00D1279F" w:rsidRPr="00D1279F" w:rsidRDefault="00D1279F" w:rsidP="00D1279F">
            <w:pPr>
              <w:spacing w:line="240" w:lineRule="atLeast"/>
              <w:rPr>
                <w:sz w:val="20"/>
                <w:szCs w:val="20"/>
                <w:lang w:val="en-GB"/>
              </w:rPr>
            </w:pPr>
            <w:r w:rsidRPr="00D1279F">
              <w:rPr>
                <w:sz w:val="20"/>
                <w:szCs w:val="20"/>
                <w:lang w:val="en-GB"/>
              </w:rPr>
              <w:t xml:space="preserve">Wearable dietary + PA self-monitoring; food transparency apps (Yuka, Open Food Facts); </w:t>
            </w:r>
            <w:proofErr w:type="gramStart"/>
            <w:r w:rsidRPr="00D1279F">
              <w:rPr>
                <w:sz w:val="20"/>
                <w:szCs w:val="20"/>
                <w:lang w:val="en-GB"/>
              </w:rPr>
              <w:t>goal-setting</w:t>
            </w:r>
            <w:proofErr w:type="gramEnd"/>
            <w:r w:rsidRPr="00D1279F">
              <w:rPr>
                <w:sz w:val="20"/>
                <w:szCs w:val="20"/>
                <w:lang w:val="en-GB"/>
              </w:rPr>
              <w:t xml:space="preserve"> + implementation intentions; incentive/commitment devices</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1C5EA1B" w14:textId="77777777" w:rsidR="00D1279F" w:rsidRPr="00D1279F" w:rsidRDefault="00D1279F" w:rsidP="00D1279F">
            <w:pPr>
              <w:spacing w:line="240" w:lineRule="atLeast"/>
              <w:rPr>
                <w:sz w:val="20"/>
                <w:szCs w:val="20"/>
                <w:lang w:val="en-GB"/>
              </w:rPr>
            </w:pPr>
            <w:r w:rsidRPr="00D1279F">
              <w:rPr>
                <w:sz w:val="20"/>
                <w:szCs w:val="20"/>
                <w:lang w:val="en-GB"/>
              </w:rPr>
              <w:t xml:space="preserve">Peer norm reinforcement for healthy food choices; </w:t>
            </w:r>
            <w:proofErr w:type="spellStart"/>
            <w:r w:rsidRPr="00D1279F">
              <w:rPr>
                <w:sz w:val="20"/>
                <w:szCs w:val="20"/>
                <w:lang w:val="en-GB"/>
              </w:rPr>
              <w:t>prebunking</w:t>
            </w:r>
            <w:proofErr w:type="spellEnd"/>
            <w:r w:rsidRPr="00D1279F">
              <w:rPr>
                <w:sz w:val="20"/>
                <w:szCs w:val="20"/>
                <w:lang w:val="en-GB"/>
              </w:rPr>
              <w:t>/inoculation against UPF marketing manipulation; co-created food norms with youth cohorts</w:t>
            </w:r>
          </w:p>
        </w:tc>
      </w:tr>
      <w:tr w:rsidR="00D1279F" w:rsidRPr="00D1279F" w14:paraId="21A5045A"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E2F0E2"/>
            <w:tcMar>
              <w:top w:w="60" w:type="dxa"/>
              <w:left w:w="100" w:type="dxa"/>
              <w:bottom w:w="60" w:type="dxa"/>
              <w:right w:w="100" w:type="dxa"/>
            </w:tcMar>
          </w:tcPr>
          <w:p w14:paraId="01890369" w14:textId="77777777" w:rsidR="00D1279F" w:rsidRPr="00D1279F" w:rsidRDefault="00D1279F" w:rsidP="00D1279F">
            <w:pPr>
              <w:spacing w:line="240" w:lineRule="atLeast"/>
              <w:rPr>
                <w:sz w:val="20"/>
                <w:szCs w:val="20"/>
                <w:lang w:val="en-GB"/>
              </w:rPr>
            </w:pPr>
            <w:r w:rsidRPr="00D1279F">
              <w:rPr>
                <w:sz w:val="20"/>
                <w:szCs w:val="20"/>
                <w:lang w:val="en-GB"/>
              </w:rPr>
              <w:t>Mental Health Diseases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05479D0" w14:textId="77777777" w:rsidR="00D1279F" w:rsidRPr="00D1279F" w:rsidRDefault="00D1279F" w:rsidP="00D1279F">
            <w:pPr>
              <w:spacing w:line="240" w:lineRule="atLeast"/>
              <w:rPr>
                <w:sz w:val="20"/>
                <w:szCs w:val="20"/>
                <w:lang w:val="en-GB"/>
              </w:rPr>
            </w:pPr>
            <w:r w:rsidRPr="00D1279F">
              <w:rPr>
                <w:sz w:val="20"/>
                <w:szCs w:val="20"/>
                <w:lang w:val="en-GB"/>
              </w:rPr>
              <w:t>Platform sleep-mode defaults; notification batch architecture; smartphone/social media ban evaluation → sleep quality, depression/anxiety; pagination disrupting body-image social comparison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43D1C98D" w14:textId="77777777" w:rsidR="00D1279F" w:rsidRPr="00D1279F" w:rsidRDefault="00D1279F" w:rsidP="00D1279F">
            <w:pPr>
              <w:spacing w:line="240" w:lineRule="atLeast"/>
              <w:rPr>
                <w:sz w:val="20"/>
                <w:szCs w:val="20"/>
                <w:lang w:val="en-GB"/>
              </w:rPr>
            </w:pPr>
            <w:r w:rsidRPr="00D1279F">
              <w:rPr>
                <w:sz w:val="20"/>
                <w:szCs w:val="20"/>
                <w:lang w:val="en-GB"/>
              </w:rPr>
              <w:t>Screen-time self-monitoring + CBT-I combined package; platform sleep-mode tools vs. third-party blockers (Opal RCT); once-daily notification batching</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22DF2E8" w14:textId="77777777" w:rsidR="00D1279F" w:rsidRPr="00D1279F" w:rsidRDefault="00D1279F" w:rsidP="00D1279F">
            <w:pPr>
              <w:spacing w:line="240" w:lineRule="atLeast"/>
              <w:rPr>
                <w:sz w:val="20"/>
                <w:szCs w:val="20"/>
                <w:lang w:val="en-GB"/>
              </w:rPr>
            </w:pPr>
            <w:r w:rsidRPr="00D1279F">
              <w:rPr>
                <w:sz w:val="20"/>
                <w:szCs w:val="20"/>
                <w:lang w:val="en-GB"/>
              </w:rPr>
              <w:t>Computerised CBT (</w:t>
            </w:r>
            <w:proofErr w:type="spellStart"/>
            <w:r w:rsidRPr="00D1279F">
              <w:rPr>
                <w:sz w:val="20"/>
                <w:szCs w:val="20"/>
                <w:lang w:val="en-GB"/>
              </w:rPr>
              <w:t>cCBT</w:t>
            </w:r>
            <w:proofErr w:type="spellEnd"/>
            <w:r w:rsidRPr="00D1279F">
              <w:rPr>
                <w:sz w:val="20"/>
                <w:szCs w:val="20"/>
                <w:lang w:val="en-GB"/>
              </w:rPr>
              <w:t>) for anxiety/depression; wearable sleep monitoring + feedback; mindfulness apps (validated protocols); transition-timed CBT-I deployment</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7CCAA11" w14:textId="77777777" w:rsidR="00D1279F" w:rsidRPr="00D1279F" w:rsidRDefault="00D1279F" w:rsidP="00D1279F">
            <w:pPr>
              <w:spacing w:line="240" w:lineRule="atLeast"/>
              <w:rPr>
                <w:sz w:val="20"/>
                <w:szCs w:val="20"/>
                <w:lang w:val="en-GB"/>
              </w:rPr>
            </w:pPr>
            <w:r w:rsidRPr="00D1279F">
              <w:rPr>
                <w:sz w:val="20"/>
                <w:szCs w:val="20"/>
                <w:lang w:val="en-GB"/>
              </w:rPr>
              <w:t>Co-created mental health help-seeking norms; inoculation against social comparison and body-image triggers; peer support network design</w:t>
            </w:r>
          </w:p>
        </w:tc>
      </w:tr>
      <w:tr w:rsidR="00D1279F" w:rsidRPr="00D1279F" w14:paraId="44F5E71D" w14:textId="77777777" w:rsidTr="00073DD7">
        <w:tc>
          <w:tcPr>
            <w:tcW w:w="736" w:type="pct"/>
            <w:tcBorders>
              <w:top w:val="single" w:sz="1" w:space="0" w:color="AAAAAA"/>
              <w:left w:val="single" w:sz="1" w:space="0" w:color="AAAAAA"/>
              <w:bottom w:val="single" w:sz="1" w:space="0" w:color="AAAAAA"/>
              <w:right w:val="single" w:sz="1" w:space="0" w:color="AAAAAA"/>
            </w:tcBorders>
            <w:shd w:val="clear" w:color="auto" w:fill="DCE8F7"/>
            <w:tcMar>
              <w:top w:w="60" w:type="dxa"/>
              <w:left w:w="100" w:type="dxa"/>
              <w:bottom w:w="60" w:type="dxa"/>
              <w:right w:w="100" w:type="dxa"/>
            </w:tcMar>
          </w:tcPr>
          <w:p w14:paraId="52A4B0AF" w14:textId="77777777" w:rsidR="00D1279F" w:rsidRPr="00D1279F" w:rsidRDefault="00D1279F" w:rsidP="00D1279F">
            <w:pPr>
              <w:spacing w:line="240" w:lineRule="atLeast"/>
              <w:rPr>
                <w:sz w:val="20"/>
                <w:szCs w:val="20"/>
                <w:lang w:val="en-GB"/>
              </w:rPr>
            </w:pPr>
            <w:r w:rsidRPr="00D1279F">
              <w:rPr>
                <w:sz w:val="20"/>
                <w:szCs w:val="20"/>
                <w:lang w:val="en-GB"/>
              </w:rPr>
              <w:lastRenderedPageBreak/>
              <w:t>Addictions</w:t>
            </w:r>
          </w:p>
        </w:tc>
        <w:tc>
          <w:tcPr>
            <w:tcW w:w="1045"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31B0810" w14:textId="77777777" w:rsidR="00D1279F" w:rsidRPr="00D1279F" w:rsidRDefault="00D1279F" w:rsidP="00D1279F">
            <w:pPr>
              <w:spacing w:line="240" w:lineRule="atLeast"/>
              <w:rPr>
                <w:sz w:val="20"/>
                <w:szCs w:val="20"/>
                <w:lang w:val="en-GB"/>
              </w:rPr>
            </w:pPr>
            <w:r w:rsidRPr="00D1279F">
              <w:rPr>
                <w:sz w:val="20"/>
                <w:szCs w:val="20"/>
                <w:lang w:val="en-GB"/>
              </w:rPr>
              <w:t>Gambling/vaping advertising restriction evaluation (DSA/AVMSD compliance across ≥3 EU countries); age-gate enforcement at digital point of exposure; influencer content regulation</w:t>
            </w:r>
          </w:p>
        </w:tc>
        <w:tc>
          <w:tcPr>
            <w:tcW w:w="1009"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0F11032A" w14:textId="77777777" w:rsidR="00D1279F" w:rsidRPr="00D1279F" w:rsidRDefault="00D1279F" w:rsidP="00D1279F">
            <w:pPr>
              <w:spacing w:line="240" w:lineRule="atLeast"/>
              <w:rPr>
                <w:sz w:val="20"/>
                <w:szCs w:val="20"/>
                <w:lang w:val="en-GB"/>
              </w:rPr>
            </w:pPr>
            <w:r w:rsidRPr="00D1279F">
              <w:rPr>
                <w:sz w:val="20"/>
                <w:szCs w:val="20"/>
                <w:lang w:val="en-GB"/>
              </w:rPr>
              <w:t>Mandatory cool-off/reflection prompts in gambling apps; temporary self-exclusion tools; vaping device usage friction; reduced autoplay in addiction-promoting content</w:t>
            </w:r>
          </w:p>
        </w:tc>
        <w:tc>
          <w:tcPr>
            <w:tcW w:w="1087"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1AB32253" w14:textId="77777777" w:rsidR="00D1279F" w:rsidRPr="00D1279F" w:rsidRDefault="00D1279F" w:rsidP="00D1279F">
            <w:pPr>
              <w:spacing w:line="240" w:lineRule="atLeast"/>
              <w:rPr>
                <w:sz w:val="20"/>
                <w:szCs w:val="20"/>
                <w:lang w:val="en-GB"/>
              </w:rPr>
            </w:pPr>
            <w:r w:rsidRPr="00D1279F">
              <w:rPr>
                <w:sz w:val="20"/>
                <w:szCs w:val="20"/>
                <w:lang w:val="en-GB"/>
              </w:rPr>
              <w:t>e-Brief interventions (e-BI) + personalised normative feedback for alcohol (ages 18–25; Kaner et al. Cochrane base); digital CBT for substance use; vaping/gaming self-monitoring</w:t>
            </w:r>
          </w:p>
        </w:tc>
        <w:tc>
          <w:tcPr>
            <w:tcW w:w="1123" w:type="pct"/>
            <w:tcBorders>
              <w:top w:val="single" w:sz="1" w:space="0" w:color="AAAAAA"/>
              <w:left w:val="single" w:sz="1" w:space="0" w:color="AAAAAA"/>
              <w:bottom w:val="single" w:sz="1" w:space="0" w:color="AAAAAA"/>
              <w:right w:val="single" w:sz="1" w:space="0" w:color="AAAAAA"/>
            </w:tcBorders>
            <w:tcMar>
              <w:top w:w="60" w:type="dxa"/>
              <w:left w:w="100" w:type="dxa"/>
              <w:bottom w:w="60" w:type="dxa"/>
              <w:right w:w="100" w:type="dxa"/>
            </w:tcMar>
          </w:tcPr>
          <w:p w14:paraId="6538893D" w14:textId="77777777" w:rsidR="00D1279F" w:rsidRPr="00D1279F" w:rsidRDefault="00D1279F" w:rsidP="00D1279F">
            <w:pPr>
              <w:spacing w:line="240" w:lineRule="atLeast"/>
              <w:rPr>
                <w:sz w:val="20"/>
                <w:szCs w:val="20"/>
                <w:lang w:val="en-GB"/>
              </w:rPr>
            </w:pPr>
            <w:r w:rsidRPr="00D1279F">
              <w:rPr>
                <w:sz w:val="20"/>
                <w:szCs w:val="20"/>
                <w:lang w:val="en-GB"/>
              </w:rPr>
              <w:t xml:space="preserve">Peer norm campaigns against vaping/gambling initiation; identity-based </w:t>
            </w:r>
            <w:proofErr w:type="spellStart"/>
            <w:r w:rsidRPr="00D1279F">
              <w:rPr>
                <w:sz w:val="20"/>
                <w:szCs w:val="20"/>
                <w:lang w:val="en-GB"/>
              </w:rPr>
              <w:t>prebunking</w:t>
            </w:r>
            <w:proofErr w:type="spellEnd"/>
            <w:r w:rsidRPr="00D1279F">
              <w:rPr>
                <w:sz w:val="20"/>
                <w:szCs w:val="20"/>
                <w:lang w:val="en-GB"/>
              </w:rPr>
              <w:t xml:space="preserve"> against addiction marketing; community-level norm activation</w:t>
            </w:r>
          </w:p>
        </w:tc>
      </w:tr>
    </w:tbl>
    <w:p w14:paraId="5EAC4C7E" w14:textId="5B794986" w:rsidR="00D1279F" w:rsidRDefault="00D1279F" w:rsidP="00D1279F">
      <w:pPr>
        <w:jc w:val="both"/>
        <w:rPr>
          <w:sz w:val="18"/>
          <w:szCs w:val="18"/>
          <w:lang w:val="en-GB"/>
        </w:rPr>
      </w:pPr>
      <w:r w:rsidRPr="00D1279F">
        <w:rPr>
          <w:sz w:val="18"/>
          <w:szCs w:val="18"/>
          <w:lang w:val="en-GB"/>
        </w:rPr>
        <w:t>G1–G4 intervention families mapped across the three disease conditions. All interventions are evidence-based at TRL ≥5 at project entry. Full TRL table in Section 1.1.4.</w:t>
      </w:r>
    </w:p>
    <w:p w14:paraId="2226EBF2" w14:textId="19FEF642" w:rsidR="00D1279F" w:rsidRDefault="00D1279F">
      <w:pPr>
        <w:rPr>
          <w:rFonts w:eastAsiaTheme="majorEastAsia" w:cstheme="majorBidi"/>
          <w:b/>
          <w:bCs/>
          <w:color w:val="0F4761" w:themeColor="accent1" w:themeShade="BF"/>
          <w:lang w:val="en-GB"/>
        </w:rPr>
      </w:pPr>
    </w:p>
    <w:p w14:paraId="55157820" w14:textId="77777777" w:rsidR="00D1279F" w:rsidRDefault="00D1279F" w:rsidP="00D1279F">
      <w:pPr>
        <w:jc w:val="both"/>
        <w:rPr>
          <w:sz w:val="18"/>
          <w:szCs w:val="18"/>
          <w:lang w:val="en-GB"/>
        </w:rPr>
      </w:pPr>
    </w:p>
    <w:p w14:paraId="4224C59D" w14:textId="77777777" w:rsidR="00D1279F" w:rsidRPr="00D1279F" w:rsidRDefault="00D1279F" w:rsidP="00D1279F">
      <w:pPr>
        <w:jc w:val="both"/>
        <w:rPr>
          <w:b/>
          <w:bCs/>
          <w:sz w:val="18"/>
          <w:szCs w:val="18"/>
          <w:lang w:val="en-GB"/>
        </w:rPr>
      </w:pPr>
    </w:p>
    <w:p w14:paraId="0407607F" w14:textId="14947206" w:rsidR="00D1279F" w:rsidRPr="00D1279F" w:rsidRDefault="00D1279F" w:rsidP="00D1279F">
      <w:pPr>
        <w:jc w:val="both"/>
        <w:rPr>
          <w:lang w:val="en-GB"/>
        </w:rPr>
      </w:pPr>
    </w:p>
    <w:p w14:paraId="552D27BA" w14:textId="77777777" w:rsidR="004A4C9F" w:rsidRPr="00D1279F" w:rsidRDefault="004A4C9F" w:rsidP="00D1279F">
      <w:pPr>
        <w:rPr>
          <w:rFonts w:cs="Calibri Light"/>
          <w:b/>
          <w:bCs/>
          <w:i/>
          <w:iCs/>
          <w:sz w:val="22"/>
          <w:szCs w:val="22"/>
          <w:lang w:val="en-GB"/>
        </w:rPr>
      </w:pPr>
    </w:p>
    <w:p w14:paraId="5354850C" w14:textId="77777777" w:rsidR="004A4C9F" w:rsidRPr="00D1279F" w:rsidRDefault="004A4C9F" w:rsidP="00D1279F">
      <w:pPr>
        <w:rPr>
          <w:rFonts w:cs="Calibri Light"/>
          <w:b/>
          <w:bCs/>
          <w:i/>
          <w:iCs/>
          <w:sz w:val="22"/>
          <w:szCs w:val="22"/>
          <w:lang w:val="en-GB"/>
        </w:rPr>
      </w:pPr>
    </w:p>
    <w:p w14:paraId="4888FF45" w14:textId="77777777" w:rsidR="004A4C9F" w:rsidRPr="00D1279F" w:rsidRDefault="004A4C9F" w:rsidP="00D1279F">
      <w:pPr>
        <w:rPr>
          <w:rFonts w:cs="Calibri Light"/>
          <w:b/>
          <w:bCs/>
          <w:i/>
          <w:iCs/>
          <w:sz w:val="22"/>
          <w:szCs w:val="22"/>
          <w:lang w:val="en-GB"/>
        </w:rPr>
        <w:sectPr w:rsidR="004A4C9F" w:rsidRPr="00D1279F" w:rsidSect="00F24BF3">
          <w:pgSz w:w="11906" w:h="16838"/>
          <w:pgMar w:top="720" w:right="720" w:bottom="720" w:left="720" w:header="708" w:footer="708" w:gutter="0"/>
          <w:cols w:space="708"/>
          <w:docGrid w:linePitch="360"/>
        </w:sectPr>
      </w:pPr>
    </w:p>
    <w:tbl>
      <w:tblPr>
        <w:tblStyle w:val="Style1"/>
        <w:tblW w:w="0" w:type="auto"/>
        <w:tblLook w:val="04A0" w:firstRow="1" w:lastRow="0" w:firstColumn="1" w:lastColumn="0" w:noHBand="0" w:noVBand="1"/>
      </w:tblPr>
      <w:tblGrid>
        <w:gridCol w:w="1835"/>
        <w:gridCol w:w="5812"/>
        <w:gridCol w:w="7647"/>
      </w:tblGrid>
      <w:tr w:rsidR="004A4C9F" w:rsidRPr="00D1279F" w14:paraId="045B68E3" w14:textId="13FF674D" w:rsidTr="004A4C9F">
        <w:trPr>
          <w:cnfStyle w:val="100000000000" w:firstRow="1" w:lastRow="0" w:firstColumn="0" w:lastColumn="0" w:oddVBand="0" w:evenVBand="0" w:oddHBand="0" w:evenHBand="0" w:firstRowFirstColumn="0" w:firstRowLastColumn="0" w:lastRowFirstColumn="0" w:lastRowLastColumn="0"/>
        </w:trPr>
        <w:tc>
          <w:tcPr>
            <w:tcW w:w="7647" w:type="dxa"/>
            <w:gridSpan w:val="2"/>
          </w:tcPr>
          <w:p w14:paraId="1310BE26" w14:textId="54442EB9" w:rsidR="004A4C9F" w:rsidRPr="00D1279F" w:rsidRDefault="004A4C9F" w:rsidP="00D1279F">
            <w:pPr>
              <w:rPr>
                <w:rFonts w:cs="Calibri"/>
                <w:sz w:val="20"/>
                <w:szCs w:val="20"/>
              </w:rPr>
            </w:pPr>
            <w:r w:rsidRPr="00D1279F">
              <w:rPr>
                <w:rFonts w:cs="Calibri"/>
                <w:sz w:val="20"/>
                <w:szCs w:val="20"/>
              </w:rPr>
              <w:lastRenderedPageBreak/>
              <w:t>WP4: Intervention package 1</w:t>
            </w:r>
            <w:r w:rsidRPr="00D1279F">
              <w:rPr>
                <w:rFonts w:cs="Calibri"/>
                <w:sz w:val="20"/>
                <w:szCs w:val="20"/>
              </w:rPr>
              <w:t xml:space="preserve"> </w:t>
            </w:r>
            <w:proofErr w:type="gramStart"/>
            <w:r w:rsidRPr="00D1279F">
              <w:rPr>
                <w:rFonts w:cs="Calibri"/>
                <w:sz w:val="20"/>
                <w:szCs w:val="20"/>
              </w:rPr>
              <w:t xml:space="preserve">-  </w:t>
            </w:r>
            <w:r w:rsidRPr="00D1279F">
              <w:rPr>
                <w:rFonts w:cs="Calibri"/>
                <w:sz w:val="20"/>
                <w:szCs w:val="20"/>
              </w:rPr>
              <w:t>Early</w:t>
            </w:r>
            <w:proofErr w:type="gramEnd"/>
            <w:r w:rsidRPr="00D1279F">
              <w:rPr>
                <w:rFonts w:cs="Calibri"/>
                <w:sz w:val="20"/>
                <w:szCs w:val="20"/>
              </w:rPr>
              <w:t xml:space="preserve"> to late adolescence</w:t>
            </w:r>
          </w:p>
        </w:tc>
        <w:tc>
          <w:tcPr>
            <w:tcW w:w="7647" w:type="dxa"/>
          </w:tcPr>
          <w:p w14:paraId="482AC1ED" w14:textId="670B1AA4" w:rsidR="004A4C9F" w:rsidRPr="00D1279F" w:rsidRDefault="004A4C9F" w:rsidP="00D1279F">
            <w:pPr>
              <w:rPr>
                <w:rFonts w:cs="Calibri"/>
                <w:sz w:val="20"/>
                <w:szCs w:val="20"/>
              </w:rPr>
            </w:pPr>
            <w:r w:rsidRPr="004A4C9F">
              <w:rPr>
                <w:rFonts w:cs="Calibri"/>
                <w:sz w:val="20"/>
                <w:szCs w:val="20"/>
              </w:rPr>
              <w:t>WP5: Intervention package 2</w:t>
            </w:r>
            <w:r w:rsidRPr="00D1279F">
              <w:rPr>
                <w:rFonts w:cs="Calibri"/>
                <w:sz w:val="20"/>
                <w:szCs w:val="20"/>
              </w:rPr>
              <w:t xml:space="preserve"> - </w:t>
            </w:r>
            <w:r w:rsidRPr="004A4C9F">
              <w:rPr>
                <w:rFonts w:cs="Calibri"/>
                <w:sz w:val="20"/>
                <w:szCs w:val="20"/>
              </w:rPr>
              <w:t>Transition to tertiary education or work</w:t>
            </w:r>
          </w:p>
        </w:tc>
      </w:tr>
      <w:tr w:rsidR="004A4C9F" w:rsidRPr="00D1279F" w14:paraId="7005F0AB" w14:textId="2B5E697B" w:rsidTr="004A4C9F">
        <w:trPr>
          <w:trHeight w:val="66"/>
        </w:trPr>
        <w:tc>
          <w:tcPr>
            <w:tcW w:w="1835" w:type="dxa"/>
          </w:tcPr>
          <w:p w14:paraId="41D37EF7" w14:textId="77777777" w:rsidR="004A4C9F" w:rsidRPr="00D1279F" w:rsidRDefault="004A4C9F" w:rsidP="00D1279F">
            <w:pPr>
              <w:rPr>
                <w:rFonts w:cs="Calibri"/>
                <w:sz w:val="20"/>
                <w:szCs w:val="20"/>
              </w:rPr>
            </w:pPr>
            <w:r w:rsidRPr="00D1279F">
              <w:rPr>
                <w:rFonts w:cs="Calibri"/>
                <w:sz w:val="20"/>
                <w:szCs w:val="20"/>
              </w:rPr>
              <w:t>Age group</w:t>
            </w:r>
          </w:p>
        </w:tc>
        <w:tc>
          <w:tcPr>
            <w:tcW w:w="5812" w:type="dxa"/>
          </w:tcPr>
          <w:p w14:paraId="3A948D85" w14:textId="505D33EE" w:rsidR="004A4C9F" w:rsidRPr="00D1279F" w:rsidRDefault="004A4C9F" w:rsidP="00D1279F">
            <w:pPr>
              <w:rPr>
                <w:rFonts w:cs="Calibri"/>
                <w:sz w:val="20"/>
                <w:szCs w:val="20"/>
              </w:rPr>
            </w:pPr>
            <w:r w:rsidRPr="00D1279F">
              <w:rPr>
                <w:rFonts w:cs="Calibri"/>
                <w:sz w:val="20"/>
                <w:szCs w:val="20"/>
              </w:rPr>
              <w:t>12-18</w:t>
            </w:r>
          </w:p>
        </w:tc>
        <w:tc>
          <w:tcPr>
            <w:tcW w:w="7647" w:type="dxa"/>
          </w:tcPr>
          <w:p w14:paraId="600158FE" w14:textId="2F005B09" w:rsidR="004A4C9F" w:rsidRPr="00D1279F" w:rsidRDefault="004A4C9F" w:rsidP="00D1279F">
            <w:pPr>
              <w:rPr>
                <w:rFonts w:cs="Calibri"/>
                <w:sz w:val="20"/>
                <w:szCs w:val="20"/>
              </w:rPr>
            </w:pPr>
            <w:r w:rsidRPr="00D1279F">
              <w:rPr>
                <w:rFonts w:cs="Calibri"/>
                <w:sz w:val="20"/>
                <w:szCs w:val="20"/>
              </w:rPr>
              <w:t>19-25</w:t>
            </w:r>
          </w:p>
        </w:tc>
      </w:tr>
      <w:tr w:rsidR="004A4C9F" w:rsidRPr="00D1279F" w14:paraId="4679432D" w14:textId="2EBFE2CA" w:rsidTr="004A4C9F">
        <w:tc>
          <w:tcPr>
            <w:tcW w:w="1835" w:type="dxa"/>
          </w:tcPr>
          <w:p w14:paraId="2EEEC9A8" w14:textId="77777777" w:rsidR="004A4C9F" w:rsidRPr="00D1279F" w:rsidRDefault="004A4C9F" w:rsidP="00D1279F">
            <w:pPr>
              <w:rPr>
                <w:rFonts w:cs="Calibri"/>
                <w:sz w:val="20"/>
                <w:szCs w:val="20"/>
              </w:rPr>
            </w:pPr>
            <w:r w:rsidRPr="00D1279F">
              <w:rPr>
                <w:rFonts w:cs="Calibri"/>
                <w:sz w:val="20"/>
                <w:szCs w:val="20"/>
              </w:rPr>
              <w:t>Key transition</w:t>
            </w:r>
          </w:p>
        </w:tc>
        <w:tc>
          <w:tcPr>
            <w:tcW w:w="5812" w:type="dxa"/>
          </w:tcPr>
          <w:p w14:paraId="359594C6" w14:textId="229E0156" w:rsidR="004A4C9F" w:rsidRPr="00D1279F" w:rsidRDefault="004A4C9F" w:rsidP="00D1279F">
            <w:pPr>
              <w:rPr>
                <w:rFonts w:cs="Calibri"/>
                <w:sz w:val="20"/>
                <w:szCs w:val="20"/>
              </w:rPr>
            </w:pPr>
            <w:r w:rsidRPr="00D1279F">
              <w:rPr>
                <w:rFonts w:cs="Calibri"/>
                <w:sz w:val="20"/>
                <w:szCs w:val="20"/>
              </w:rPr>
              <w:t>From early to late adolescence.</w:t>
            </w:r>
          </w:p>
        </w:tc>
        <w:tc>
          <w:tcPr>
            <w:tcW w:w="7647" w:type="dxa"/>
          </w:tcPr>
          <w:p w14:paraId="126C230C" w14:textId="4CBAA2B2" w:rsidR="004A4C9F" w:rsidRPr="00D1279F" w:rsidRDefault="004A4C9F" w:rsidP="00D1279F">
            <w:pPr>
              <w:rPr>
                <w:rFonts w:cs="Calibri"/>
                <w:sz w:val="20"/>
                <w:szCs w:val="20"/>
              </w:rPr>
            </w:pPr>
            <w:r w:rsidRPr="00D1279F">
              <w:rPr>
                <w:rFonts w:cs="Calibri"/>
                <w:sz w:val="20"/>
                <w:szCs w:val="20"/>
              </w:rPr>
              <w:t>From secondary school to tertiary education or work. Transition to independent living.</w:t>
            </w:r>
          </w:p>
        </w:tc>
      </w:tr>
      <w:tr w:rsidR="004A4C9F" w:rsidRPr="00D1279F" w14:paraId="19D23EE5" w14:textId="598937A8" w:rsidTr="004A4C9F">
        <w:tc>
          <w:tcPr>
            <w:tcW w:w="1835" w:type="dxa"/>
          </w:tcPr>
          <w:p w14:paraId="3512E79F" w14:textId="77777777" w:rsidR="004A4C9F" w:rsidRPr="00D1279F" w:rsidRDefault="004A4C9F" w:rsidP="00D1279F">
            <w:pPr>
              <w:rPr>
                <w:rFonts w:cs="Calibri"/>
                <w:sz w:val="20"/>
                <w:szCs w:val="20"/>
              </w:rPr>
            </w:pPr>
            <w:r w:rsidRPr="00D1279F">
              <w:rPr>
                <w:rFonts w:cs="Calibri"/>
                <w:sz w:val="20"/>
                <w:szCs w:val="20"/>
              </w:rPr>
              <w:t>Setting</w:t>
            </w:r>
          </w:p>
        </w:tc>
        <w:tc>
          <w:tcPr>
            <w:tcW w:w="5812" w:type="dxa"/>
          </w:tcPr>
          <w:p w14:paraId="314C832C" w14:textId="77777777" w:rsidR="004A4C9F" w:rsidRPr="00D1279F" w:rsidRDefault="004A4C9F" w:rsidP="00D1279F">
            <w:pPr>
              <w:rPr>
                <w:rFonts w:cs="Calibri"/>
                <w:sz w:val="20"/>
                <w:szCs w:val="20"/>
              </w:rPr>
            </w:pPr>
            <w:r w:rsidRPr="00D1279F">
              <w:rPr>
                <w:rFonts w:cs="Calibri"/>
                <w:sz w:val="20"/>
                <w:szCs w:val="20"/>
              </w:rPr>
              <w:t>Lower and/or upper secondary schools, depending on organisation of educational system in relevant countries.</w:t>
            </w:r>
          </w:p>
          <w:p w14:paraId="5F51029A" w14:textId="77777777" w:rsidR="004A4C9F" w:rsidRPr="00D1279F" w:rsidRDefault="004A4C9F" w:rsidP="00D1279F">
            <w:pPr>
              <w:rPr>
                <w:rFonts w:cs="Calibri"/>
                <w:sz w:val="20"/>
                <w:szCs w:val="20"/>
              </w:rPr>
            </w:pPr>
            <w:r w:rsidRPr="00D1279F">
              <w:rPr>
                <w:rFonts w:cs="Calibri"/>
                <w:sz w:val="20"/>
                <w:szCs w:val="20"/>
              </w:rPr>
              <w:t>Interventions will be implemented in schools, although they may not apply, or not in the same way, to all classes.</w:t>
            </w:r>
          </w:p>
          <w:p w14:paraId="7390EC9D" w14:textId="22A60BD9" w:rsidR="004A4C9F" w:rsidRPr="00D1279F" w:rsidRDefault="004A4C9F" w:rsidP="00D1279F">
            <w:pPr>
              <w:rPr>
                <w:rFonts w:cs="Calibri"/>
                <w:sz w:val="20"/>
                <w:szCs w:val="20"/>
              </w:rPr>
            </w:pPr>
            <w:r w:rsidRPr="00D1279F">
              <w:rPr>
                <w:rFonts w:cs="Calibri"/>
                <w:sz w:val="20"/>
                <w:szCs w:val="20"/>
              </w:rPr>
              <w:t xml:space="preserve">Interventions will also be deployed at the individual level. </w:t>
            </w:r>
          </w:p>
        </w:tc>
        <w:tc>
          <w:tcPr>
            <w:tcW w:w="7647" w:type="dxa"/>
          </w:tcPr>
          <w:p w14:paraId="24F2DD24" w14:textId="77777777" w:rsidR="004A4C9F" w:rsidRPr="00D1279F" w:rsidRDefault="004A4C9F" w:rsidP="00D1279F">
            <w:pPr>
              <w:rPr>
                <w:rFonts w:cs="Calibri"/>
                <w:sz w:val="20"/>
                <w:szCs w:val="20"/>
              </w:rPr>
            </w:pPr>
            <w:r w:rsidRPr="00D1279F">
              <w:rPr>
                <w:rFonts w:cs="Calibri"/>
                <w:sz w:val="20"/>
                <w:szCs w:val="20"/>
              </w:rPr>
              <w:t>Two options can be considered:</w:t>
            </w:r>
          </w:p>
          <w:p w14:paraId="141A76D6" w14:textId="77777777" w:rsidR="004A4C9F" w:rsidRPr="00D1279F" w:rsidRDefault="004A4C9F" w:rsidP="00D1279F">
            <w:pPr>
              <w:rPr>
                <w:rFonts w:cs="Calibri"/>
                <w:sz w:val="20"/>
                <w:szCs w:val="20"/>
              </w:rPr>
            </w:pPr>
            <w:proofErr w:type="spellStart"/>
            <w:r w:rsidRPr="00D1279F">
              <w:rPr>
                <w:rFonts w:cs="Calibri"/>
                <w:sz w:val="20"/>
                <w:szCs w:val="20"/>
              </w:rPr>
              <w:t>i</w:t>
            </w:r>
            <w:proofErr w:type="spellEnd"/>
            <w:r w:rsidRPr="00D1279F">
              <w:rPr>
                <w:rFonts w:cs="Calibri"/>
                <w:sz w:val="20"/>
                <w:szCs w:val="20"/>
              </w:rPr>
              <w:t xml:space="preserve">. intervention in tertiary education or workplace </w:t>
            </w:r>
            <w:proofErr w:type="gramStart"/>
            <w:r w:rsidRPr="00D1279F">
              <w:rPr>
                <w:rFonts w:cs="Calibri"/>
                <w:sz w:val="20"/>
                <w:szCs w:val="20"/>
              </w:rPr>
              <w:t>settings;</w:t>
            </w:r>
            <w:proofErr w:type="gramEnd"/>
            <w:r w:rsidRPr="00D1279F">
              <w:rPr>
                <w:rFonts w:cs="Calibri"/>
                <w:sz w:val="20"/>
                <w:szCs w:val="20"/>
              </w:rPr>
              <w:t xml:space="preserve"> </w:t>
            </w:r>
          </w:p>
          <w:p w14:paraId="00291FFF" w14:textId="3BB12FFA" w:rsidR="004A4C9F" w:rsidRPr="00D1279F" w:rsidRDefault="004A4C9F" w:rsidP="00D1279F">
            <w:pPr>
              <w:rPr>
                <w:rFonts w:cs="Calibri"/>
                <w:sz w:val="20"/>
                <w:szCs w:val="20"/>
              </w:rPr>
            </w:pPr>
            <w:r w:rsidRPr="00D1279F">
              <w:rPr>
                <w:rFonts w:cs="Calibri"/>
                <w:sz w:val="20"/>
                <w:szCs w:val="20"/>
              </w:rPr>
              <w:t>ii. intervention at the end of the secondary school cycle, to prepare young people for the coming transition.</w:t>
            </w:r>
          </w:p>
        </w:tc>
      </w:tr>
      <w:tr w:rsidR="004A4C9F" w:rsidRPr="00D1279F" w14:paraId="7E50AF45" w14:textId="44BD25B2" w:rsidTr="004A4C9F">
        <w:tc>
          <w:tcPr>
            <w:tcW w:w="1835" w:type="dxa"/>
          </w:tcPr>
          <w:p w14:paraId="31C39469" w14:textId="77777777" w:rsidR="004A4C9F" w:rsidRPr="00D1279F" w:rsidRDefault="004A4C9F" w:rsidP="00D1279F">
            <w:pPr>
              <w:rPr>
                <w:rFonts w:cs="Calibri"/>
                <w:sz w:val="20"/>
                <w:szCs w:val="20"/>
              </w:rPr>
            </w:pPr>
            <w:r w:rsidRPr="00D1279F">
              <w:rPr>
                <w:rFonts w:cs="Calibri"/>
                <w:sz w:val="20"/>
                <w:szCs w:val="20"/>
              </w:rPr>
              <w:t>Actions involved</w:t>
            </w:r>
          </w:p>
        </w:tc>
        <w:tc>
          <w:tcPr>
            <w:tcW w:w="5812" w:type="dxa"/>
          </w:tcPr>
          <w:p w14:paraId="0F06434E" w14:textId="0200FE4D" w:rsidR="004A4C9F" w:rsidRPr="00D1279F" w:rsidRDefault="004A4C9F" w:rsidP="00D1279F">
            <w:pPr>
              <w:rPr>
                <w:rFonts w:cs="Calibri"/>
                <w:sz w:val="20"/>
                <w:szCs w:val="20"/>
              </w:rPr>
            </w:pPr>
            <w:r w:rsidRPr="00D1279F">
              <w:rPr>
                <w:rFonts w:cs="Calibri"/>
                <w:sz w:val="20"/>
                <w:szCs w:val="20"/>
              </w:rPr>
              <w:t>Class-based activities; changes in school environment; resources and services for individual use.</w:t>
            </w:r>
            <w:r w:rsidRPr="00D1279F">
              <w:rPr>
                <w:rFonts w:cs="Calibri"/>
                <w:sz w:val="20"/>
                <w:szCs w:val="20"/>
              </w:rPr>
              <w:t xml:space="preserve"> </w:t>
            </w:r>
            <w:r w:rsidRPr="00D1279F">
              <w:rPr>
                <w:rFonts w:cs="Calibri"/>
                <w:sz w:val="20"/>
                <w:szCs w:val="20"/>
              </w:rPr>
              <w:t xml:space="preserve">The intervention approach will be consistent with WHO’s guidelines on Health Promoting Schools, and with </w:t>
            </w:r>
            <w:proofErr w:type="spellStart"/>
            <w:r w:rsidRPr="00D1279F">
              <w:rPr>
                <w:rFonts w:cs="Calibri"/>
                <w:sz w:val="20"/>
                <w:szCs w:val="20"/>
              </w:rPr>
              <w:t>EuroHealthNet’s</w:t>
            </w:r>
            <w:proofErr w:type="spellEnd"/>
            <w:r w:rsidRPr="00D1279F">
              <w:rPr>
                <w:rFonts w:cs="Calibri"/>
                <w:sz w:val="20"/>
                <w:szCs w:val="20"/>
              </w:rPr>
              <w:t xml:space="preserve"> Schools4Health programme. Inclusiveness and sustainability will be key pillars of the intervention approach.</w:t>
            </w:r>
          </w:p>
        </w:tc>
        <w:tc>
          <w:tcPr>
            <w:tcW w:w="7647" w:type="dxa"/>
          </w:tcPr>
          <w:p w14:paraId="275BF003" w14:textId="178A5D25" w:rsidR="004A4C9F" w:rsidRPr="00D1279F" w:rsidRDefault="004A4C9F" w:rsidP="00D1279F">
            <w:pPr>
              <w:rPr>
                <w:rFonts w:cs="Calibri"/>
                <w:sz w:val="20"/>
                <w:szCs w:val="20"/>
              </w:rPr>
            </w:pPr>
            <w:r w:rsidRPr="00D1279F">
              <w:rPr>
                <w:rFonts w:cs="Calibri"/>
                <w:sz w:val="20"/>
                <w:szCs w:val="20"/>
              </w:rPr>
              <w:t>Individual-based and group-based learning, online and in physical settings; use of behavioural monitoring devices; physical and digital environment changes, possibly in tertiary education and/or employment settings.</w:t>
            </w:r>
          </w:p>
        </w:tc>
      </w:tr>
      <w:tr w:rsidR="004A4C9F" w:rsidRPr="00D1279F" w14:paraId="416BD1DE" w14:textId="0D137CDB" w:rsidTr="004A4C9F">
        <w:tc>
          <w:tcPr>
            <w:tcW w:w="1835" w:type="dxa"/>
          </w:tcPr>
          <w:p w14:paraId="7860E326" w14:textId="61AB3698" w:rsidR="004A4C9F" w:rsidRPr="00D1279F" w:rsidRDefault="004A4C9F" w:rsidP="00D1279F">
            <w:pPr>
              <w:rPr>
                <w:rFonts w:cs="Calibri"/>
                <w:sz w:val="20"/>
                <w:szCs w:val="20"/>
              </w:rPr>
            </w:pPr>
            <w:r w:rsidRPr="00D1279F">
              <w:rPr>
                <w:rFonts w:cs="Calibri"/>
                <w:sz w:val="20"/>
                <w:szCs w:val="20"/>
              </w:rPr>
              <w:t>C</w:t>
            </w:r>
            <w:r w:rsidRPr="00D1279F">
              <w:rPr>
                <w:rFonts w:cs="Calibri"/>
                <w:sz w:val="20"/>
                <w:szCs w:val="20"/>
              </w:rPr>
              <w:t>ountries</w:t>
            </w:r>
          </w:p>
        </w:tc>
        <w:tc>
          <w:tcPr>
            <w:tcW w:w="5812" w:type="dxa"/>
          </w:tcPr>
          <w:p w14:paraId="00A7D38F" w14:textId="6B3906A6" w:rsidR="004A4C9F" w:rsidRPr="00D1279F" w:rsidRDefault="00D1279F" w:rsidP="00D1279F">
            <w:pPr>
              <w:rPr>
                <w:rFonts w:cs="Calibri"/>
                <w:sz w:val="20"/>
                <w:szCs w:val="20"/>
              </w:rPr>
            </w:pPr>
            <w:r>
              <w:rPr>
                <w:rFonts w:cs="Calibri"/>
                <w:sz w:val="20"/>
                <w:szCs w:val="20"/>
              </w:rPr>
              <w:t>Norway, Slovenia, Macedonia, Ukraine</w:t>
            </w:r>
          </w:p>
        </w:tc>
        <w:tc>
          <w:tcPr>
            <w:tcW w:w="7647" w:type="dxa"/>
          </w:tcPr>
          <w:p w14:paraId="3FA9A843" w14:textId="15347EB4" w:rsidR="004A4C9F" w:rsidRPr="00D1279F" w:rsidRDefault="00D1279F" w:rsidP="00D1279F">
            <w:pPr>
              <w:rPr>
                <w:rFonts w:cs="Calibri"/>
                <w:sz w:val="20"/>
                <w:szCs w:val="20"/>
              </w:rPr>
            </w:pPr>
            <w:r>
              <w:rPr>
                <w:rFonts w:cs="Calibri"/>
                <w:sz w:val="20"/>
                <w:szCs w:val="20"/>
              </w:rPr>
              <w:t>Spain, UK. Germany</w:t>
            </w:r>
          </w:p>
        </w:tc>
      </w:tr>
      <w:tr w:rsidR="004A4C9F" w:rsidRPr="00D1279F" w14:paraId="40FB937E" w14:textId="6AA8EFD9" w:rsidTr="00E177D2">
        <w:tc>
          <w:tcPr>
            <w:tcW w:w="15294" w:type="dxa"/>
            <w:gridSpan w:val="3"/>
          </w:tcPr>
          <w:p w14:paraId="6E064C0B" w14:textId="7794788C" w:rsidR="004A4C9F" w:rsidRPr="00D1279F" w:rsidRDefault="004A4C9F" w:rsidP="00D1279F">
            <w:pPr>
              <w:rPr>
                <w:rFonts w:cs="Calibri"/>
                <w:b/>
                <w:bCs/>
                <w:sz w:val="20"/>
                <w:szCs w:val="20"/>
              </w:rPr>
            </w:pPr>
            <w:r w:rsidRPr="00D1279F">
              <w:rPr>
                <w:rFonts w:cs="Calibri"/>
                <w:b/>
                <w:bCs/>
                <w:sz w:val="20"/>
                <w:szCs w:val="20"/>
              </w:rPr>
              <w:t>Intervention domains</w:t>
            </w:r>
          </w:p>
        </w:tc>
      </w:tr>
      <w:tr w:rsidR="004A4C9F" w:rsidRPr="00D1279F" w14:paraId="479B1C76" w14:textId="02A037A3" w:rsidTr="004A4C9F">
        <w:tc>
          <w:tcPr>
            <w:tcW w:w="7647" w:type="dxa"/>
            <w:gridSpan w:val="2"/>
          </w:tcPr>
          <w:p w14:paraId="4A4D026C" w14:textId="39FB0EE1" w:rsidR="004A4C9F" w:rsidRPr="00D1279F" w:rsidRDefault="004A4C9F" w:rsidP="00D1279F">
            <w:pPr>
              <w:rPr>
                <w:rFonts w:cs="Calibri"/>
                <w:b/>
                <w:bCs/>
                <w:sz w:val="20"/>
                <w:szCs w:val="20"/>
              </w:rPr>
            </w:pPr>
            <w:r w:rsidRPr="00D1279F">
              <w:rPr>
                <w:rFonts w:cs="Calibri"/>
                <w:b/>
                <w:bCs/>
                <w:sz w:val="20"/>
                <w:szCs w:val="20"/>
              </w:rPr>
              <w:t>1. Health and digital literacy</w:t>
            </w:r>
          </w:p>
          <w:p w14:paraId="175B6B27" w14:textId="0F9B0CF6" w:rsidR="004A4C9F" w:rsidRPr="00D1279F" w:rsidRDefault="004A4C9F" w:rsidP="00D1279F">
            <w:pPr>
              <w:rPr>
                <w:rFonts w:cs="Calibri"/>
                <w:sz w:val="20"/>
                <w:szCs w:val="20"/>
              </w:rPr>
            </w:pPr>
            <w:r w:rsidRPr="00D1279F">
              <w:rPr>
                <w:rFonts w:cs="Calibri"/>
                <w:sz w:val="20"/>
                <w:szCs w:val="20"/>
              </w:rPr>
              <w:t xml:space="preserve">Co-creation of health and digital literacy programme with youth and relevant local stakeholders. Involvement of school health services and community nurses (where relevant). Start from </w:t>
            </w:r>
            <w:r w:rsidRPr="00D1279F">
              <w:rPr>
                <w:rFonts w:cs="Calibri"/>
                <w:b/>
                <w:bCs/>
                <w:sz w:val="20"/>
                <w:szCs w:val="20"/>
              </w:rPr>
              <w:t>needs assessment</w:t>
            </w:r>
            <w:r w:rsidRPr="00D1279F">
              <w:rPr>
                <w:rFonts w:cs="Calibri"/>
                <w:sz w:val="20"/>
                <w:szCs w:val="20"/>
              </w:rPr>
              <w:t xml:space="preserve">, then develop an </w:t>
            </w:r>
            <w:r w:rsidRPr="00D1279F">
              <w:rPr>
                <w:rFonts w:cs="Calibri"/>
                <w:b/>
                <w:bCs/>
                <w:sz w:val="20"/>
                <w:szCs w:val="20"/>
              </w:rPr>
              <w:t>intervention plan</w:t>
            </w:r>
            <w:r w:rsidRPr="00D1279F">
              <w:rPr>
                <w:rFonts w:cs="Calibri"/>
                <w:sz w:val="20"/>
                <w:szCs w:val="20"/>
              </w:rPr>
              <w:t xml:space="preserve">, comprising of </w:t>
            </w:r>
            <w:r w:rsidRPr="00D1279F">
              <w:rPr>
                <w:rFonts w:cs="Calibri"/>
                <w:b/>
                <w:bCs/>
                <w:sz w:val="20"/>
                <w:szCs w:val="20"/>
              </w:rPr>
              <w:t>health literacy materials and resources</w:t>
            </w:r>
            <w:r w:rsidRPr="00D1279F">
              <w:rPr>
                <w:rFonts w:cs="Calibri"/>
                <w:sz w:val="20"/>
                <w:szCs w:val="20"/>
              </w:rPr>
              <w:t xml:space="preserve">, and a plan for </w:t>
            </w:r>
            <w:r w:rsidRPr="00D1279F">
              <w:rPr>
                <w:rFonts w:cs="Calibri"/>
                <w:b/>
                <w:bCs/>
                <w:sz w:val="20"/>
                <w:szCs w:val="20"/>
              </w:rPr>
              <w:t>interactive, class-based sessions</w:t>
            </w:r>
            <w:r w:rsidRPr="00D1279F">
              <w:rPr>
                <w:rFonts w:cs="Calibri"/>
                <w:sz w:val="20"/>
                <w:szCs w:val="20"/>
              </w:rPr>
              <w:t>.</w:t>
            </w:r>
          </w:p>
          <w:p w14:paraId="292A75CF" w14:textId="77777777" w:rsidR="004A4C9F" w:rsidRPr="00D1279F" w:rsidRDefault="004A4C9F" w:rsidP="00D1279F">
            <w:pPr>
              <w:rPr>
                <w:rFonts w:cs="Calibri"/>
                <w:sz w:val="20"/>
                <w:szCs w:val="20"/>
              </w:rPr>
            </w:pPr>
            <w:r w:rsidRPr="00D1279F">
              <w:rPr>
                <w:rFonts w:cs="Calibri"/>
                <w:sz w:val="20"/>
                <w:szCs w:val="20"/>
              </w:rPr>
              <w:t>Components may include the following:</w:t>
            </w:r>
          </w:p>
          <w:p w14:paraId="5CF65A58" w14:textId="77777777" w:rsidR="004A4C9F" w:rsidRPr="00D1279F" w:rsidRDefault="004A4C9F" w:rsidP="00D1279F">
            <w:pPr>
              <w:rPr>
                <w:rFonts w:cs="Calibri"/>
                <w:sz w:val="20"/>
                <w:szCs w:val="20"/>
              </w:rPr>
            </w:pPr>
            <w:r w:rsidRPr="00D1279F">
              <w:rPr>
                <w:rFonts w:cs="Calibri"/>
                <w:sz w:val="20"/>
                <w:szCs w:val="20"/>
              </w:rPr>
              <w:t>a) TUTCH (Teenagers understanding and taking control of their health) educational approach, developed by the CHOICE Foundation (SE) based on training medical students to deliver health literacy sessions to adolescents on mental health and addictions. [EU Best practice]</w:t>
            </w:r>
          </w:p>
          <w:p w14:paraId="54BBE709" w14:textId="50779F7C" w:rsidR="004A4C9F" w:rsidRPr="00D1279F" w:rsidRDefault="004A4C9F" w:rsidP="00D1279F">
            <w:pPr>
              <w:rPr>
                <w:rFonts w:cs="Calibri"/>
                <w:sz w:val="20"/>
                <w:szCs w:val="20"/>
              </w:rPr>
            </w:pPr>
            <w:r w:rsidRPr="00D1279F">
              <w:rPr>
                <w:rFonts w:cs="Calibri"/>
                <w:sz w:val="20"/>
                <w:szCs w:val="20"/>
              </w:rPr>
              <w:t xml:space="preserve">b) Digital literacy sessions, focusing on access to health information through digital media. Understanding how AI algorithms affect the health-related information young people access. Managing exposure to misinformation through pre-bunking and inoculation. A component of the digital literacy programme will be designed to support domain no. 2 in the intervention package, described below. [Evidence on misinformation management] </w:t>
            </w:r>
          </w:p>
        </w:tc>
        <w:tc>
          <w:tcPr>
            <w:tcW w:w="7647" w:type="dxa"/>
          </w:tcPr>
          <w:p w14:paraId="3A9E24D0" w14:textId="05E31316" w:rsidR="004A4C9F" w:rsidRPr="00D1279F" w:rsidRDefault="004A4C9F" w:rsidP="00D1279F">
            <w:pPr>
              <w:rPr>
                <w:rFonts w:cs="Calibri"/>
                <w:b/>
                <w:bCs/>
                <w:sz w:val="20"/>
                <w:szCs w:val="20"/>
              </w:rPr>
            </w:pPr>
            <w:r w:rsidRPr="00D1279F">
              <w:rPr>
                <w:rFonts w:cs="Calibri"/>
                <w:b/>
                <w:bCs/>
                <w:sz w:val="20"/>
                <w:szCs w:val="20"/>
              </w:rPr>
              <w:t>1. Health and digital literacy</w:t>
            </w:r>
          </w:p>
          <w:p w14:paraId="37D8110B" w14:textId="29694B5E" w:rsidR="004A4C9F" w:rsidRPr="00D1279F" w:rsidRDefault="004A4C9F" w:rsidP="00D1279F">
            <w:pPr>
              <w:rPr>
                <w:rFonts w:cs="Calibri"/>
                <w:sz w:val="20"/>
                <w:szCs w:val="20"/>
              </w:rPr>
            </w:pPr>
            <w:r w:rsidRPr="00D1279F">
              <w:rPr>
                <w:rFonts w:cs="Calibri"/>
                <w:sz w:val="20"/>
                <w:szCs w:val="20"/>
              </w:rPr>
              <w:t xml:space="preserve">Co-creation of health and digital literacy programme with youth and relevant local stakeholders. Start from </w:t>
            </w:r>
            <w:r w:rsidRPr="00D1279F">
              <w:rPr>
                <w:rFonts w:cs="Calibri"/>
                <w:b/>
                <w:bCs/>
                <w:sz w:val="20"/>
                <w:szCs w:val="20"/>
              </w:rPr>
              <w:t>needs assessment</w:t>
            </w:r>
            <w:r w:rsidRPr="00D1279F">
              <w:rPr>
                <w:rFonts w:cs="Calibri"/>
                <w:sz w:val="20"/>
                <w:szCs w:val="20"/>
              </w:rPr>
              <w:t xml:space="preserve">, then develop an </w:t>
            </w:r>
            <w:r w:rsidRPr="00D1279F">
              <w:rPr>
                <w:rFonts w:cs="Calibri"/>
                <w:b/>
                <w:bCs/>
                <w:sz w:val="20"/>
                <w:szCs w:val="20"/>
              </w:rPr>
              <w:t>intervention plan</w:t>
            </w:r>
            <w:r w:rsidRPr="00D1279F">
              <w:rPr>
                <w:rFonts w:cs="Calibri"/>
                <w:sz w:val="20"/>
                <w:szCs w:val="20"/>
              </w:rPr>
              <w:t xml:space="preserve">, comprising of </w:t>
            </w:r>
            <w:r w:rsidRPr="00D1279F">
              <w:rPr>
                <w:rFonts w:cs="Calibri"/>
                <w:b/>
                <w:bCs/>
                <w:sz w:val="20"/>
                <w:szCs w:val="20"/>
              </w:rPr>
              <w:t>health literacy materials and resources</w:t>
            </w:r>
            <w:r w:rsidRPr="00D1279F">
              <w:rPr>
                <w:rFonts w:cs="Calibri"/>
                <w:sz w:val="20"/>
                <w:szCs w:val="20"/>
              </w:rPr>
              <w:t xml:space="preserve">, and a plan involving a mix of </w:t>
            </w:r>
            <w:r w:rsidRPr="00D1279F">
              <w:rPr>
                <w:rFonts w:cs="Calibri"/>
                <w:b/>
                <w:bCs/>
                <w:sz w:val="20"/>
                <w:szCs w:val="20"/>
              </w:rPr>
              <w:t>individual,</w:t>
            </w:r>
            <w:r w:rsidRPr="00D1279F">
              <w:rPr>
                <w:rFonts w:cs="Calibri"/>
                <w:sz w:val="20"/>
                <w:szCs w:val="20"/>
              </w:rPr>
              <w:t xml:space="preserve"> </w:t>
            </w:r>
            <w:r w:rsidRPr="00D1279F">
              <w:rPr>
                <w:rFonts w:cs="Calibri"/>
                <w:b/>
                <w:bCs/>
                <w:sz w:val="20"/>
                <w:szCs w:val="20"/>
              </w:rPr>
              <w:t>self-administered sessions</w:t>
            </w:r>
            <w:r w:rsidRPr="00D1279F">
              <w:rPr>
                <w:rFonts w:cs="Calibri"/>
                <w:sz w:val="20"/>
                <w:szCs w:val="20"/>
              </w:rPr>
              <w:t xml:space="preserve"> (via digital media)</w:t>
            </w:r>
            <w:r w:rsidRPr="00D1279F">
              <w:rPr>
                <w:rFonts w:cs="Calibri"/>
                <w:b/>
                <w:bCs/>
                <w:sz w:val="20"/>
                <w:szCs w:val="20"/>
              </w:rPr>
              <w:t xml:space="preserve"> </w:t>
            </w:r>
            <w:r w:rsidRPr="00D1279F">
              <w:rPr>
                <w:rFonts w:cs="Calibri"/>
                <w:sz w:val="20"/>
                <w:szCs w:val="20"/>
              </w:rPr>
              <w:t xml:space="preserve">and </w:t>
            </w:r>
            <w:r w:rsidRPr="00D1279F">
              <w:rPr>
                <w:rFonts w:cs="Calibri"/>
                <w:b/>
                <w:bCs/>
                <w:sz w:val="20"/>
                <w:szCs w:val="20"/>
              </w:rPr>
              <w:t>group sessions delivered and attended in-person</w:t>
            </w:r>
            <w:r w:rsidRPr="00D1279F">
              <w:rPr>
                <w:rFonts w:cs="Calibri"/>
                <w:sz w:val="20"/>
                <w:szCs w:val="20"/>
              </w:rPr>
              <w:t>.</w:t>
            </w:r>
            <w:r w:rsidR="00D1279F">
              <w:rPr>
                <w:rFonts w:cs="Calibri"/>
                <w:sz w:val="20"/>
                <w:szCs w:val="20"/>
              </w:rPr>
              <w:t xml:space="preserve"> </w:t>
            </w:r>
            <w:r w:rsidRPr="00D1279F">
              <w:rPr>
                <w:rFonts w:cs="Calibri"/>
                <w:sz w:val="20"/>
                <w:szCs w:val="20"/>
              </w:rPr>
              <w:t>Components may include the following:</w:t>
            </w:r>
          </w:p>
          <w:p w14:paraId="7712929B" w14:textId="77777777" w:rsidR="004A4C9F" w:rsidRPr="00D1279F" w:rsidRDefault="004A4C9F" w:rsidP="00D1279F">
            <w:pPr>
              <w:rPr>
                <w:rFonts w:cs="Calibri"/>
                <w:sz w:val="20"/>
                <w:szCs w:val="20"/>
              </w:rPr>
            </w:pPr>
            <w:r w:rsidRPr="00D1279F">
              <w:rPr>
                <w:rFonts w:cs="Calibri"/>
                <w:sz w:val="20"/>
                <w:szCs w:val="20"/>
              </w:rPr>
              <w:t>a) A health literacy component aimed at raising awareness of the risks young people are typically exposed to, and of the health conditions that may be linked to those. Literacy training will include identifying thresholds at which young people should be seeking help, and ways in which they can access appropriate services if they do decide to seek help.</w:t>
            </w:r>
          </w:p>
          <w:p w14:paraId="5783226F" w14:textId="15E177CA" w:rsidR="004A4C9F" w:rsidRPr="00D1279F" w:rsidRDefault="004A4C9F" w:rsidP="00D1279F">
            <w:pPr>
              <w:rPr>
                <w:rFonts w:cs="Calibri"/>
                <w:sz w:val="20"/>
                <w:szCs w:val="20"/>
              </w:rPr>
            </w:pPr>
            <w:r w:rsidRPr="00D1279F">
              <w:rPr>
                <w:rFonts w:cs="Calibri"/>
                <w:sz w:val="20"/>
                <w:szCs w:val="20"/>
              </w:rPr>
              <w:t xml:space="preserve">b) Advanced digital literacy training, focusing on understanding the different ways in which contents accessed through digital media may impact their health. This will include raising awareness of how targeted marketing influences young people’s consumption choices, based on data collected from their own use of digital devices. Like in intervention package 1, digital literacy training will include a component on managing exposure to misinformation through pre-bunking and inoculation. </w:t>
            </w:r>
            <w:proofErr w:type="gramStart"/>
            <w:r w:rsidRPr="00D1279F">
              <w:rPr>
                <w:rFonts w:cs="Calibri"/>
                <w:sz w:val="20"/>
                <w:szCs w:val="20"/>
              </w:rPr>
              <w:t>Also</w:t>
            </w:r>
            <w:proofErr w:type="gramEnd"/>
            <w:r w:rsidRPr="00D1279F">
              <w:rPr>
                <w:rFonts w:cs="Calibri"/>
                <w:sz w:val="20"/>
                <w:szCs w:val="20"/>
              </w:rPr>
              <w:t xml:space="preserve"> part of digital literacy training, the intervention will empower young people who wish to seek help concerning health conditions from digital apps and devices, to be able to identify the benefits and risks of different commercially available options.</w:t>
            </w:r>
          </w:p>
        </w:tc>
      </w:tr>
      <w:tr w:rsidR="004A4C9F" w:rsidRPr="00D1279F" w14:paraId="2E9B6D79" w14:textId="5CCCDB56" w:rsidTr="004A4C9F">
        <w:tc>
          <w:tcPr>
            <w:tcW w:w="7647" w:type="dxa"/>
            <w:gridSpan w:val="2"/>
          </w:tcPr>
          <w:p w14:paraId="654C0C5D" w14:textId="39213750" w:rsidR="004A4C9F" w:rsidRPr="00D1279F" w:rsidRDefault="004A4C9F" w:rsidP="00D1279F">
            <w:pPr>
              <w:rPr>
                <w:rFonts w:cs="Calibri"/>
                <w:b/>
                <w:bCs/>
                <w:sz w:val="20"/>
                <w:szCs w:val="20"/>
              </w:rPr>
            </w:pPr>
            <w:r w:rsidRPr="00D1279F">
              <w:rPr>
                <w:rFonts w:cs="Calibri"/>
                <w:b/>
                <w:bCs/>
                <w:sz w:val="20"/>
                <w:szCs w:val="20"/>
              </w:rPr>
              <w:t xml:space="preserve">2. </w:t>
            </w:r>
            <w:r w:rsidRPr="00D1279F">
              <w:rPr>
                <w:rFonts w:cs="Calibri"/>
                <w:b/>
                <w:bCs/>
                <w:sz w:val="20"/>
                <w:szCs w:val="20"/>
              </w:rPr>
              <w:t>Self-management of digital media use</w:t>
            </w:r>
          </w:p>
          <w:p w14:paraId="1CB0C344" w14:textId="031204BA" w:rsidR="004A4C9F" w:rsidRPr="00D1279F" w:rsidRDefault="004A4C9F" w:rsidP="00D1279F">
            <w:pPr>
              <w:rPr>
                <w:rFonts w:cs="Calibri"/>
                <w:sz w:val="20"/>
                <w:szCs w:val="20"/>
              </w:rPr>
            </w:pPr>
            <w:r w:rsidRPr="00D1279F">
              <w:rPr>
                <w:rFonts w:cs="Calibri"/>
                <w:sz w:val="20"/>
                <w:szCs w:val="20"/>
              </w:rPr>
              <w:t>Individual-level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p>
          <w:p w14:paraId="443FCDB0" w14:textId="77777777" w:rsidR="004A4C9F" w:rsidRPr="00D1279F" w:rsidRDefault="004A4C9F" w:rsidP="00D1279F">
            <w:pPr>
              <w:rPr>
                <w:rFonts w:cs="Calibri"/>
                <w:sz w:val="20"/>
                <w:szCs w:val="20"/>
              </w:rPr>
            </w:pPr>
            <w:r w:rsidRPr="00D1279F">
              <w:rPr>
                <w:rFonts w:cs="Calibri"/>
                <w:sz w:val="20"/>
                <w:szCs w:val="20"/>
              </w:rPr>
              <w:lastRenderedPageBreak/>
              <w:t>a) Content access management tool, hindering “infinite scrolling”. This feature would prevent children from excessive exposure to social media content and from spending exceeding amounts of time on screens and digital media, thereby reducing exposure to potentially harmful health-related content.</w:t>
            </w:r>
          </w:p>
          <w:p w14:paraId="5EC2A570" w14:textId="77777777" w:rsidR="004A4C9F" w:rsidRPr="00D1279F" w:rsidRDefault="004A4C9F" w:rsidP="00D1279F">
            <w:pPr>
              <w:rPr>
                <w:rFonts w:cs="Calibri"/>
                <w:sz w:val="20"/>
                <w:szCs w:val="20"/>
              </w:rPr>
            </w:pPr>
            <w:r w:rsidRPr="00D1279F">
              <w:rPr>
                <w:rFonts w:cs="Calibri"/>
                <w:sz w:val="20"/>
                <w:szCs w:val="20"/>
              </w:rPr>
              <w:t>b) Sleep duration and attention controls, which would trigger a hard stop (not amenable to manipulation) on social media use at given times of the day and night.</w:t>
            </w:r>
          </w:p>
          <w:p w14:paraId="13333596" w14:textId="182E34BC" w:rsidR="004A4C9F" w:rsidRPr="00D1279F" w:rsidRDefault="004A4C9F" w:rsidP="00D1279F">
            <w:pPr>
              <w:rPr>
                <w:rFonts w:cs="Calibri"/>
                <w:sz w:val="20"/>
                <w:szCs w:val="20"/>
              </w:rPr>
            </w:pPr>
            <w:r w:rsidRPr="00D1279F">
              <w:rPr>
                <w:rFonts w:cs="Calibri"/>
                <w:sz w:val="20"/>
                <w:szCs w:val="20"/>
              </w:rPr>
              <w:t>c) Notification frequency reduction tool, which would reduce the frequency of notifications, another key “attention grabbing” feature of digital media use, by delivering them in batches, thereby reducing the frequency of device pick-up and time spent on digital devices.</w:t>
            </w:r>
          </w:p>
        </w:tc>
        <w:tc>
          <w:tcPr>
            <w:tcW w:w="7647" w:type="dxa"/>
          </w:tcPr>
          <w:p w14:paraId="35F2ECC3" w14:textId="4371C696" w:rsidR="004A4C9F" w:rsidRPr="00D1279F" w:rsidRDefault="004A4C9F" w:rsidP="00D1279F">
            <w:pPr>
              <w:rPr>
                <w:rFonts w:cs="Calibri"/>
                <w:b/>
                <w:bCs/>
                <w:sz w:val="20"/>
                <w:szCs w:val="20"/>
              </w:rPr>
            </w:pPr>
            <w:r w:rsidRPr="00D1279F">
              <w:rPr>
                <w:rFonts w:cs="Calibri"/>
                <w:b/>
                <w:bCs/>
                <w:sz w:val="20"/>
                <w:szCs w:val="20"/>
              </w:rPr>
              <w:lastRenderedPageBreak/>
              <w:t>2. Device-assisted behavioural monitoring and feedback</w:t>
            </w:r>
          </w:p>
          <w:p w14:paraId="0E446A1B" w14:textId="490119DF" w:rsidR="004A4C9F" w:rsidRPr="00D1279F" w:rsidRDefault="004A4C9F" w:rsidP="00D1279F">
            <w:pPr>
              <w:rPr>
                <w:rFonts w:cs="Calibri"/>
                <w:sz w:val="20"/>
                <w:szCs w:val="20"/>
              </w:rPr>
            </w:pPr>
            <w:r w:rsidRPr="00D1279F">
              <w:rPr>
                <w:rFonts w:cs="Calibri"/>
                <w:sz w:val="20"/>
                <w:szCs w:val="20"/>
              </w:rPr>
              <w:t xml:space="preserve">Individual-level intervention component, requiring young people to volunteer to use wearables and other devices, for short periods of time or longer-term, to monitor aspects of their behaviour that can reflect or influence their health status. This behavioural intervention combines young people’s empowerment from access to a wider and richer information set, with targeted feedback delivered by the same devices </w:t>
            </w:r>
            <w:r w:rsidRPr="00D1279F">
              <w:rPr>
                <w:rFonts w:cs="Calibri"/>
                <w:sz w:val="20"/>
                <w:szCs w:val="20"/>
              </w:rPr>
              <w:lastRenderedPageBreak/>
              <w:t>based on the information gathered through monitoring. The feedback may be designed to include behavioural dimensions such as targets, commitments, peer comparisons</w:t>
            </w:r>
            <w:r w:rsidRPr="00D1279F">
              <w:rPr>
                <w:rFonts w:cs="Calibri"/>
                <w:sz w:val="20"/>
                <w:szCs w:val="20"/>
              </w:rPr>
              <w:t>.</w:t>
            </w:r>
          </w:p>
          <w:p w14:paraId="71A73DE9" w14:textId="77777777" w:rsidR="004A4C9F" w:rsidRPr="00D1279F" w:rsidRDefault="004A4C9F" w:rsidP="00D1279F">
            <w:pPr>
              <w:rPr>
                <w:rFonts w:cs="Calibri"/>
                <w:sz w:val="20"/>
                <w:szCs w:val="20"/>
              </w:rPr>
            </w:pPr>
            <w:r w:rsidRPr="00D1279F">
              <w:rPr>
                <w:rFonts w:cs="Calibri"/>
                <w:sz w:val="20"/>
                <w:szCs w:val="20"/>
              </w:rPr>
              <w:t>Behavioural monitoring dimensions may include the following:</w:t>
            </w:r>
          </w:p>
          <w:p w14:paraId="37FF0503" w14:textId="77777777" w:rsidR="004A4C9F" w:rsidRPr="00D1279F" w:rsidRDefault="004A4C9F" w:rsidP="00D1279F">
            <w:pPr>
              <w:rPr>
                <w:rFonts w:cs="Calibri"/>
                <w:sz w:val="20"/>
                <w:szCs w:val="20"/>
              </w:rPr>
            </w:pPr>
            <w:r w:rsidRPr="00D1279F">
              <w:rPr>
                <w:rFonts w:cs="Calibri"/>
                <w:sz w:val="20"/>
                <w:szCs w:val="20"/>
              </w:rPr>
              <w:t>a) Physical activity, from simple step counts to more detailed monitoring of physical activity patterns and intensity.</w:t>
            </w:r>
          </w:p>
          <w:p w14:paraId="4D70172F" w14:textId="77777777" w:rsidR="004A4C9F" w:rsidRPr="00D1279F" w:rsidRDefault="004A4C9F" w:rsidP="00D1279F">
            <w:pPr>
              <w:rPr>
                <w:rFonts w:cs="Calibri"/>
                <w:sz w:val="20"/>
                <w:szCs w:val="20"/>
              </w:rPr>
            </w:pPr>
            <w:r w:rsidRPr="00D1279F">
              <w:rPr>
                <w:rFonts w:cs="Calibri"/>
                <w:sz w:val="20"/>
                <w:szCs w:val="20"/>
              </w:rPr>
              <w:t>b) Sleep, rest and activity cycles monitoring, including duration and patterns of sleep, through actigraphy monitoring.</w:t>
            </w:r>
          </w:p>
          <w:p w14:paraId="603650C5" w14:textId="6A424EB6" w:rsidR="004A4C9F" w:rsidRPr="00D1279F" w:rsidRDefault="004A4C9F" w:rsidP="00D1279F">
            <w:pPr>
              <w:rPr>
                <w:rFonts w:cs="Calibri"/>
                <w:sz w:val="20"/>
                <w:szCs w:val="20"/>
              </w:rPr>
            </w:pPr>
            <w:r w:rsidRPr="00D1279F">
              <w:rPr>
                <w:rFonts w:cs="Calibri"/>
                <w:sz w:val="20"/>
                <w:szCs w:val="20"/>
              </w:rPr>
              <w:t xml:space="preserve">c) Eating patterns and diet monitoring, based on wearable cameras powered by AI image recognition algorithms, developed and tested in the current Horizon project </w:t>
            </w:r>
            <w:proofErr w:type="spellStart"/>
            <w:r w:rsidRPr="00D1279F">
              <w:rPr>
                <w:rFonts w:cs="Calibri"/>
                <w:sz w:val="20"/>
                <w:szCs w:val="20"/>
              </w:rPr>
              <w:t>CoDie</w:t>
            </w:r>
            <w:r w:rsidRPr="00D1279F">
              <w:rPr>
                <w:rFonts w:cs="Calibri"/>
                <w:sz w:val="20"/>
                <w:szCs w:val="20"/>
              </w:rPr>
              <w:t>t</w:t>
            </w:r>
            <w:proofErr w:type="spellEnd"/>
          </w:p>
          <w:p w14:paraId="3A074903" w14:textId="257F0207" w:rsidR="004A4C9F" w:rsidRPr="00D1279F" w:rsidRDefault="004A4C9F" w:rsidP="00D1279F">
            <w:pPr>
              <w:rPr>
                <w:rFonts w:cs="Calibri"/>
                <w:sz w:val="20"/>
                <w:szCs w:val="20"/>
              </w:rPr>
            </w:pPr>
            <w:r w:rsidRPr="00D1279F">
              <w:rPr>
                <w:rFonts w:cs="Calibri"/>
                <w:sz w:val="20"/>
                <w:szCs w:val="20"/>
              </w:rPr>
              <w:t>d) Using the camera devices mentioned at point (c), it may be possible to extend behavioural monitoring to the use of addictive products (subject to developing appropriate additional AI image recognition algorithms). This dimension has not previously been tested or validated</w:t>
            </w:r>
            <w:r w:rsidRPr="00D1279F">
              <w:rPr>
                <w:rFonts w:cs="Calibri"/>
                <w:sz w:val="20"/>
                <w:szCs w:val="20"/>
              </w:rPr>
              <w:t>.</w:t>
            </w:r>
          </w:p>
        </w:tc>
      </w:tr>
      <w:tr w:rsidR="004A4C9F" w:rsidRPr="00D1279F" w14:paraId="7E27C595" w14:textId="4488B89A" w:rsidTr="004A4C9F">
        <w:tc>
          <w:tcPr>
            <w:tcW w:w="7647" w:type="dxa"/>
            <w:gridSpan w:val="2"/>
          </w:tcPr>
          <w:p w14:paraId="06C89B21" w14:textId="3C469948" w:rsidR="004A4C9F" w:rsidRPr="00D1279F" w:rsidRDefault="004A4C9F" w:rsidP="00D1279F">
            <w:pPr>
              <w:rPr>
                <w:rFonts w:cs="Calibri"/>
                <w:b/>
                <w:bCs/>
                <w:sz w:val="20"/>
                <w:szCs w:val="20"/>
              </w:rPr>
            </w:pPr>
            <w:r w:rsidRPr="00D1279F">
              <w:rPr>
                <w:rFonts w:cs="Calibri"/>
                <w:b/>
                <w:bCs/>
                <w:sz w:val="20"/>
                <w:szCs w:val="20"/>
              </w:rPr>
              <w:lastRenderedPageBreak/>
              <w:t>3. Healthy school environments and nudges</w:t>
            </w:r>
          </w:p>
          <w:p w14:paraId="34537FC8" w14:textId="02AB7588" w:rsidR="004A4C9F" w:rsidRPr="00D1279F" w:rsidRDefault="004A4C9F" w:rsidP="00D1279F">
            <w:pPr>
              <w:rPr>
                <w:rFonts w:cs="Calibri"/>
                <w:sz w:val="20"/>
                <w:szCs w:val="20"/>
              </w:rPr>
            </w:pPr>
            <w:r w:rsidRPr="00D1279F">
              <w:rPr>
                <w:rFonts w:cs="Calibri"/>
                <w:sz w:val="20"/>
                <w:szCs w:val="20"/>
              </w:rPr>
              <w:t>School-level intervention component aimed at creating a health promoting environment. The focus will be on the three health issues at the centre of the proposal (obesity, mental health, and addictions), as follows:</w:t>
            </w:r>
          </w:p>
          <w:p w14:paraId="0259E265" w14:textId="77777777" w:rsidR="004A4C9F" w:rsidRPr="00D1279F" w:rsidRDefault="004A4C9F" w:rsidP="00D1279F">
            <w:pPr>
              <w:rPr>
                <w:rFonts w:cs="Calibri"/>
                <w:sz w:val="20"/>
                <w:szCs w:val="20"/>
              </w:rPr>
            </w:pPr>
            <w:r w:rsidRPr="00D1279F">
              <w:rPr>
                <w:rFonts w:cs="Calibri"/>
                <w:sz w:val="20"/>
                <w:szCs w:val="20"/>
              </w:rPr>
              <w:t>a) Strong evidence, and WHO policy guidelines and recommendations, exist on school food environments. WHO guidelines relate to direct food provision; nutrition standards; and nudges (portion size, nutrition information, food presentation and positioning). While not all schools would have canteens or directly provide full meals, there is probably sufficient scope for implementing food environment interventions that would have a meaningful impact on children’s dietary intakes.</w:t>
            </w:r>
          </w:p>
          <w:p w14:paraId="4D4EDBC9" w14:textId="77777777" w:rsidR="004A4C9F" w:rsidRPr="00D1279F" w:rsidRDefault="004A4C9F" w:rsidP="00D1279F">
            <w:pPr>
              <w:rPr>
                <w:rFonts w:cs="Calibri"/>
                <w:sz w:val="20"/>
                <w:szCs w:val="20"/>
              </w:rPr>
            </w:pPr>
            <w:r w:rsidRPr="00D1279F">
              <w:rPr>
                <w:rFonts w:cs="Calibri"/>
                <w:sz w:val="20"/>
                <w:szCs w:val="20"/>
              </w:rPr>
              <w:t>b) Food environment interventions can be combined with physical activity interventions in addressing the first critical health area (overweight and obesity), provided that the required infrastructure investment is affordable and sustainable.</w:t>
            </w:r>
          </w:p>
          <w:p w14:paraId="2C637261" w14:textId="3FA9DE39" w:rsidR="004A4C9F" w:rsidRPr="00D1279F" w:rsidRDefault="004A4C9F" w:rsidP="00D1279F">
            <w:pPr>
              <w:rPr>
                <w:rFonts w:cs="Calibri"/>
                <w:sz w:val="20"/>
                <w:szCs w:val="20"/>
              </w:rPr>
            </w:pPr>
            <w:r w:rsidRPr="00D1279F">
              <w:rPr>
                <w:rFonts w:cs="Calibri"/>
                <w:sz w:val="20"/>
                <w:szCs w:val="20"/>
              </w:rPr>
              <w:t xml:space="preserve">c) Smartphone-free schools, following an increasing number of jurisdictions preventing children from taking their smartphones to school or using them while at school. The Z-Health framework assumes that reducing exposure to digital media and digital content would have benefits in </w:t>
            </w:r>
            <w:proofErr w:type="gramStart"/>
            <w:r w:rsidRPr="00D1279F">
              <w:rPr>
                <w:rFonts w:cs="Calibri"/>
                <w:sz w:val="20"/>
                <w:szCs w:val="20"/>
              </w:rPr>
              <w:t>all of</w:t>
            </w:r>
            <w:proofErr w:type="gramEnd"/>
            <w:r w:rsidRPr="00D1279F">
              <w:rPr>
                <w:rFonts w:cs="Calibri"/>
                <w:sz w:val="20"/>
                <w:szCs w:val="20"/>
              </w:rPr>
              <w:t xml:space="preserve"> the project’s three critical health areas.</w:t>
            </w:r>
          </w:p>
        </w:tc>
        <w:tc>
          <w:tcPr>
            <w:tcW w:w="7647" w:type="dxa"/>
            <w:vMerge w:val="restart"/>
          </w:tcPr>
          <w:p w14:paraId="24E343A7" w14:textId="50ECE036" w:rsidR="004A4C9F" w:rsidRPr="00D1279F" w:rsidRDefault="004A4C9F" w:rsidP="00D1279F">
            <w:pPr>
              <w:rPr>
                <w:rFonts w:cs="Calibri"/>
                <w:b/>
                <w:bCs/>
                <w:sz w:val="20"/>
                <w:szCs w:val="20"/>
              </w:rPr>
            </w:pPr>
            <w:r w:rsidRPr="00D1279F">
              <w:rPr>
                <w:rFonts w:cs="Calibri"/>
                <w:b/>
                <w:bCs/>
                <w:sz w:val="20"/>
                <w:szCs w:val="20"/>
              </w:rPr>
              <w:t>3. Healthy environments and nudges</w:t>
            </w:r>
          </w:p>
          <w:p w14:paraId="62E90BE6" w14:textId="5690F96A" w:rsidR="004A4C9F" w:rsidRPr="00D1279F" w:rsidRDefault="004A4C9F" w:rsidP="00D1279F">
            <w:pPr>
              <w:rPr>
                <w:rFonts w:cs="Calibri"/>
                <w:sz w:val="20"/>
                <w:szCs w:val="20"/>
              </w:rPr>
            </w:pPr>
            <w:r w:rsidRPr="00D1279F">
              <w:rPr>
                <w:rFonts w:cs="Calibri"/>
                <w:sz w:val="20"/>
                <w:szCs w:val="20"/>
              </w:rPr>
              <w:t xml:space="preserve">The environment in which this component of the intervention package will be delivered depends on the setting that is selected for the intervention (see relevant section above).If the setting is tertiary education institutions or workplaces (option </w:t>
            </w:r>
            <w:proofErr w:type="spellStart"/>
            <w:r w:rsidRPr="00D1279F">
              <w:rPr>
                <w:rFonts w:cs="Calibri"/>
                <w:sz w:val="20"/>
                <w:szCs w:val="20"/>
              </w:rPr>
              <w:t>i</w:t>
            </w:r>
            <w:proofErr w:type="spellEnd"/>
            <w:r w:rsidRPr="00D1279F">
              <w:rPr>
                <w:rFonts w:cs="Calibri"/>
                <w:sz w:val="20"/>
                <w:szCs w:val="20"/>
              </w:rPr>
              <w:t>. above), there will be scope for implementing measures aimed at improving the health-promoting nature of the physical environments in which young people in the relevant age group spend a large part of their time. On the other hand, if the intervention is to be mostly delivered in school settings, at the end of the secondary school cycle (option ii. above), environmental interventions and nudges will have to be based in digital environments, because the subjects of the intervention will disperse into multiple avenues at the end of secondary school.</w:t>
            </w:r>
          </w:p>
          <w:p w14:paraId="217A7363" w14:textId="77777777" w:rsidR="004A4C9F" w:rsidRPr="00D1279F" w:rsidRDefault="004A4C9F" w:rsidP="00D1279F">
            <w:pPr>
              <w:rPr>
                <w:rFonts w:cs="Calibri"/>
                <w:sz w:val="20"/>
                <w:szCs w:val="20"/>
              </w:rPr>
            </w:pPr>
            <w:r w:rsidRPr="00D1279F">
              <w:rPr>
                <w:rFonts w:cs="Calibri"/>
                <w:sz w:val="20"/>
                <w:szCs w:val="20"/>
              </w:rPr>
              <w:t>Physical environment domains amenable to intervention in tertiary education and employment settings may include the following:</w:t>
            </w:r>
          </w:p>
          <w:p w14:paraId="71A967F7" w14:textId="77777777" w:rsidR="004A4C9F" w:rsidRPr="00D1279F" w:rsidRDefault="004A4C9F" w:rsidP="00D1279F">
            <w:pPr>
              <w:rPr>
                <w:rFonts w:cs="Calibri"/>
                <w:sz w:val="20"/>
                <w:szCs w:val="20"/>
              </w:rPr>
            </w:pPr>
            <w:r w:rsidRPr="00D1279F">
              <w:rPr>
                <w:rFonts w:cs="Calibri"/>
                <w:sz w:val="20"/>
                <w:szCs w:val="20"/>
              </w:rPr>
              <w:t>a) Food and physical activity environments, in the context of catering outlets, gyms and other physical activity facilities.</w:t>
            </w:r>
          </w:p>
          <w:p w14:paraId="0B06681E" w14:textId="77777777" w:rsidR="004A4C9F" w:rsidRPr="00D1279F" w:rsidRDefault="004A4C9F" w:rsidP="00D1279F">
            <w:pPr>
              <w:rPr>
                <w:rFonts w:cs="Calibri"/>
                <w:sz w:val="20"/>
                <w:szCs w:val="20"/>
              </w:rPr>
            </w:pPr>
            <w:r w:rsidRPr="00D1279F">
              <w:rPr>
                <w:rFonts w:cs="Calibri"/>
                <w:sz w:val="20"/>
                <w:szCs w:val="20"/>
              </w:rPr>
              <w:t>b) Availability of potentially addictive products, and environmental cues promoting their use.</w:t>
            </w:r>
          </w:p>
          <w:p w14:paraId="7A117579" w14:textId="161ACC3D" w:rsidR="004A4C9F" w:rsidRPr="00D1279F" w:rsidRDefault="004A4C9F" w:rsidP="00D1279F">
            <w:pPr>
              <w:rPr>
                <w:rFonts w:cs="Calibri"/>
                <w:sz w:val="20"/>
                <w:szCs w:val="20"/>
              </w:rPr>
            </w:pPr>
            <w:r w:rsidRPr="00D1279F">
              <w:rPr>
                <w:rFonts w:cs="Calibri"/>
                <w:sz w:val="20"/>
                <w:szCs w:val="20"/>
              </w:rPr>
              <w:t xml:space="preserve">c) Mental-health promoting environments, possibly to be created using the Act-Belong-Commit (ABC) framework or </w:t>
            </w:r>
            <w:proofErr w:type="gramStart"/>
            <w:r w:rsidRPr="00D1279F">
              <w:rPr>
                <w:rFonts w:cs="Calibri"/>
                <w:sz w:val="20"/>
                <w:szCs w:val="20"/>
              </w:rPr>
              <w:t>other</w:t>
            </w:r>
            <w:proofErr w:type="gramEnd"/>
            <w:r w:rsidRPr="00D1279F">
              <w:rPr>
                <w:rFonts w:cs="Calibri"/>
                <w:sz w:val="20"/>
                <w:szCs w:val="20"/>
              </w:rPr>
              <w:t xml:space="preserve"> relevant behavioural framework.</w:t>
            </w:r>
          </w:p>
          <w:p w14:paraId="4C1ED4D8" w14:textId="1D1A0AA4" w:rsidR="004A4C9F" w:rsidRPr="00D1279F" w:rsidRDefault="004A4C9F" w:rsidP="00D1279F">
            <w:pPr>
              <w:rPr>
                <w:rFonts w:cs="Calibri"/>
                <w:sz w:val="20"/>
                <w:szCs w:val="20"/>
              </w:rPr>
            </w:pPr>
            <w:r w:rsidRPr="00D1279F">
              <w:rPr>
                <w:rFonts w:cs="Calibri"/>
                <w:sz w:val="20"/>
                <w:szCs w:val="20"/>
              </w:rPr>
              <w:t xml:space="preserve">If, on the other hand, the focus </w:t>
            </w:r>
            <w:proofErr w:type="gramStart"/>
            <w:r w:rsidRPr="00D1279F">
              <w:rPr>
                <w:rFonts w:cs="Calibri"/>
                <w:sz w:val="20"/>
                <w:szCs w:val="20"/>
              </w:rPr>
              <w:t>were</w:t>
            </w:r>
            <w:proofErr w:type="gramEnd"/>
            <w:r w:rsidRPr="00D1279F">
              <w:rPr>
                <w:rFonts w:cs="Calibri"/>
                <w:sz w:val="20"/>
                <w:szCs w:val="20"/>
              </w:rPr>
              <w:t xml:space="preserve"> on digital environments, interventions may involve voluntary, self-managed, changes in digital device access and use settings (based on commitment), like those envisaged in Intervention package 1. </w:t>
            </w:r>
            <w:proofErr w:type="gramStart"/>
            <w:r w:rsidRPr="00D1279F">
              <w:rPr>
                <w:rFonts w:cs="Calibri"/>
                <w:sz w:val="20"/>
                <w:szCs w:val="20"/>
              </w:rPr>
              <w:t>Or,</w:t>
            </w:r>
            <w:proofErr w:type="gramEnd"/>
            <w:r w:rsidRPr="00D1279F">
              <w:rPr>
                <w:rFonts w:cs="Calibri"/>
                <w:sz w:val="20"/>
                <w:szCs w:val="20"/>
              </w:rPr>
              <w:t xml:space="preserve"> they could rely on apps designed to help young people take control in specific domains of health risk.</w:t>
            </w:r>
          </w:p>
        </w:tc>
      </w:tr>
      <w:tr w:rsidR="004A4C9F" w:rsidRPr="00D1279F" w14:paraId="12755DE1" w14:textId="55D847B2" w:rsidTr="004A4C9F">
        <w:tc>
          <w:tcPr>
            <w:tcW w:w="7647" w:type="dxa"/>
            <w:gridSpan w:val="2"/>
          </w:tcPr>
          <w:p w14:paraId="0E19636A" w14:textId="2DA03F07" w:rsidR="004A4C9F" w:rsidRPr="00D1279F" w:rsidRDefault="004A4C9F" w:rsidP="00D1279F">
            <w:pPr>
              <w:rPr>
                <w:rFonts w:cs="Calibri"/>
                <w:b/>
                <w:bCs/>
                <w:sz w:val="20"/>
                <w:szCs w:val="20"/>
              </w:rPr>
            </w:pPr>
            <w:r w:rsidRPr="00D1279F">
              <w:rPr>
                <w:rFonts w:cs="Calibri"/>
                <w:b/>
                <w:bCs/>
                <w:sz w:val="20"/>
                <w:szCs w:val="20"/>
              </w:rPr>
              <w:t>4. Resources and services</w:t>
            </w:r>
          </w:p>
          <w:p w14:paraId="1801A721" w14:textId="232BDD5D" w:rsidR="004A4C9F" w:rsidRPr="00D1279F" w:rsidRDefault="004A4C9F" w:rsidP="00D1279F">
            <w:pPr>
              <w:rPr>
                <w:rFonts w:cs="Calibri"/>
                <w:sz w:val="20"/>
                <w:szCs w:val="20"/>
              </w:rPr>
            </w:pPr>
            <w:r w:rsidRPr="00D1279F">
              <w:rPr>
                <w:rFonts w:cs="Calibri"/>
                <w:sz w:val="20"/>
                <w:szCs w:val="20"/>
              </w:rPr>
              <w:t>Environmental interventions aimed at empowering children to request and obtain safe advice and counselling from trained staff on health issues they may be experiencing or may be concerned about.</w:t>
            </w:r>
            <w:r w:rsidRPr="00D1279F">
              <w:rPr>
                <w:rFonts w:cs="Calibri"/>
                <w:sz w:val="20"/>
                <w:szCs w:val="20"/>
              </w:rPr>
              <w:t xml:space="preserve"> </w:t>
            </w:r>
            <w:r w:rsidRPr="00D1279F">
              <w:rPr>
                <w:rFonts w:cs="Calibri"/>
                <w:sz w:val="20"/>
                <w:szCs w:val="20"/>
              </w:rPr>
              <w:t xml:space="preserve">The priority area in this domain is probably mental health, and the intervention may rely on transferring and adapting the NIJZ approach developed in Slovenia with the “To </w:t>
            </w:r>
            <w:proofErr w:type="spellStart"/>
            <w:r w:rsidRPr="00D1279F">
              <w:rPr>
                <w:rFonts w:cs="Calibri"/>
                <w:sz w:val="20"/>
                <w:szCs w:val="20"/>
              </w:rPr>
              <w:t>sem</w:t>
            </w:r>
            <w:proofErr w:type="spellEnd"/>
            <w:r w:rsidRPr="00D1279F">
              <w:rPr>
                <w:rFonts w:cs="Calibri"/>
                <w:sz w:val="20"/>
                <w:szCs w:val="20"/>
              </w:rPr>
              <w:t xml:space="preserve"> </w:t>
            </w:r>
            <w:proofErr w:type="spellStart"/>
            <w:r w:rsidRPr="00D1279F">
              <w:rPr>
                <w:rFonts w:cs="Calibri"/>
                <w:sz w:val="20"/>
                <w:szCs w:val="20"/>
              </w:rPr>
              <w:t>jaz</w:t>
            </w:r>
            <w:proofErr w:type="spellEnd"/>
            <w:r w:rsidRPr="00D1279F">
              <w:rPr>
                <w:rFonts w:cs="Calibri"/>
                <w:sz w:val="20"/>
                <w:szCs w:val="20"/>
              </w:rPr>
              <w:t xml:space="preserve">” mental health counselling website to other countries. Potentially, an AI-assisted version of NIJZ’s tool could be considered, for efficiency of deliver, while maintaining trained staff in control of the answers provided. The AI support algorithm could be trained using a database of questions asked and advice provided over the years (if available) in Slovenia. </w:t>
            </w:r>
          </w:p>
        </w:tc>
        <w:tc>
          <w:tcPr>
            <w:tcW w:w="7647" w:type="dxa"/>
            <w:vMerge/>
          </w:tcPr>
          <w:p w14:paraId="654360B6" w14:textId="77777777" w:rsidR="004A4C9F" w:rsidRPr="00D1279F" w:rsidRDefault="004A4C9F" w:rsidP="00D1279F">
            <w:pPr>
              <w:rPr>
                <w:rFonts w:cs="Calibri"/>
                <w:sz w:val="20"/>
                <w:szCs w:val="20"/>
              </w:rPr>
            </w:pPr>
          </w:p>
        </w:tc>
      </w:tr>
    </w:tbl>
    <w:p w14:paraId="3E4516D9" w14:textId="77777777" w:rsidR="004A4C9F" w:rsidRPr="00D1279F" w:rsidRDefault="004A4C9F" w:rsidP="00D1279F">
      <w:pPr>
        <w:rPr>
          <w:rFonts w:cs="Calibri Light"/>
          <w:b/>
          <w:bCs/>
          <w:i/>
          <w:iCs/>
          <w:sz w:val="22"/>
          <w:szCs w:val="22"/>
          <w:lang w:val="en-GB"/>
        </w:rPr>
      </w:pPr>
    </w:p>
    <w:sectPr w:rsidR="004A4C9F" w:rsidRPr="00D1279F" w:rsidSect="00D1279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EDA0" w14:textId="77777777" w:rsidR="00C2444F" w:rsidRDefault="00C2444F" w:rsidP="000E54CB">
      <w:r>
        <w:separator/>
      </w:r>
    </w:p>
  </w:endnote>
  <w:endnote w:type="continuationSeparator" w:id="0">
    <w:p w14:paraId="6E22C647" w14:textId="77777777" w:rsidR="00C2444F" w:rsidRDefault="00C2444F" w:rsidP="000E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A9D6" w14:textId="77777777" w:rsidR="00C2444F" w:rsidRDefault="00C2444F" w:rsidP="000E54CB">
      <w:r>
        <w:separator/>
      </w:r>
    </w:p>
  </w:footnote>
  <w:footnote w:type="continuationSeparator" w:id="0">
    <w:p w14:paraId="5CB6E70E" w14:textId="77777777" w:rsidR="00C2444F" w:rsidRDefault="00C2444F" w:rsidP="000E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7247E"/>
    <w:multiLevelType w:val="hybridMultilevel"/>
    <w:tmpl w:val="445874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7336554"/>
    <w:multiLevelType w:val="multilevel"/>
    <w:tmpl w:val="30FA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B6FE6"/>
    <w:multiLevelType w:val="multilevel"/>
    <w:tmpl w:val="2040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677D7"/>
    <w:multiLevelType w:val="hybridMultilevel"/>
    <w:tmpl w:val="7CCC251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A411C97"/>
    <w:multiLevelType w:val="hybridMultilevel"/>
    <w:tmpl w:val="F4C82474"/>
    <w:lvl w:ilvl="0" w:tplc="907ECCD8">
      <w:start w:val="3"/>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B01BFA"/>
    <w:multiLevelType w:val="multilevel"/>
    <w:tmpl w:val="F77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7D2C6C"/>
    <w:multiLevelType w:val="multilevel"/>
    <w:tmpl w:val="BD1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039952">
    <w:abstractNumId w:val="4"/>
  </w:num>
  <w:num w:numId="2" w16cid:durableId="85154305">
    <w:abstractNumId w:val="6"/>
  </w:num>
  <w:num w:numId="3" w16cid:durableId="1959407516">
    <w:abstractNumId w:val="5"/>
  </w:num>
  <w:num w:numId="4" w16cid:durableId="942761828">
    <w:abstractNumId w:val="2"/>
  </w:num>
  <w:num w:numId="5" w16cid:durableId="1086458774">
    <w:abstractNumId w:val="1"/>
  </w:num>
  <w:num w:numId="6" w16cid:durableId="1824618037">
    <w:abstractNumId w:val="0"/>
  </w:num>
  <w:num w:numId="7" w16cid:durableId="68243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08"/>
    <w:rsid w:val="00004FBA"/>
    <w:rsid w:val="000221C6"/>
    <w:rsid w:val="000E54CB"/>
    <w:rsid w:val="001306B9"/>
    <w:rsid w:val="001D6912"/>
    <w:rsid w:val="0025770B"/>
    <w:rsid w:val="00272CD5"/>
    <w:rsid w:val="002A3327"/>
    <w:rsid w:val="002B247B"/>
    <w:rsid w:val="002D6B61"/>
    <w:rsid w:val="00354C6E"/>
    <w:rsid w:val="003D08E7"/>
    <w:rsid w:val="00455237"/>
    <w:rsid w:val="004A03FA"/>
    <w:rsid w:val="004A0908"/>
    <w:rsid w:val="004A4C9F"/>
    <w:rsid w:val="004B7E56"/>
    <w:rsid w:val="004E7571"/>
    <w:rsid w:val="00505DAA"/>
    <w:rsid w:val="00563891"/>
    <w:rsid w:val="005A5A48"/>
    <w:rsid w:val="00645BA9"/>
    <w:rsid w:val="006961C1"/>
    <w:rsid w:val="006A000E"/>
    <w:rsid w:val="006A3F13"/>
    <w:rsid w:val="006B3FC6"/>
    <w:rsid w:val="006F5C00"/>
    <w:rsid w:val="00706E72"/>
    <w:rsid w:val="007A1A04"/>
    <w:rsid w:val="0082107C"/>
    <w:rsid w:val="0083679E"/>
    <w:rsid w:val="008525F5"/>
    <w:rsid w:val="00862466"/>
    <w:rsid w:val="00870122"/>
    <w:rsid w:val="008A0A1A"/>
    <w:rsid w:val="008D0D7E"/>
    <w:rsid w:val="00905111"/>
    <w:rsid w:val="009616E1"/>
    <w:rsid w:val="009C0F80"/>
    <w:rsid w:val="009F36E2"/>
    <w:rsid w:val="00A42B24"/>
    <w:rsid w:val="00AD1AE2"/>
    <w:rsid w:val="00B63442"/>
    <w:rsid w:val="00BB1F76"/>
    <w:rsid w:val="00BF2C89"/>
    <w:rsid w:val="00C2444F"/>
    <w:rsid w:val="00C3477E"/>
    <w:rsid w:val="00C96A9D"/>
    <w:rsid w:val="00CC1620"/>
    <w:rsid w:val="00CD59EC"/>
    <w:rsid w:val="00D1279F"/>
    <w:rsid w:val="00D2367B"/>
    <w:rsid w:val="00D66B50"/>
    <w:rsid w:val="00DA59D3"/>
    <w:rsid w:val="00DB482F"/>
    <w:rsid w:val="00DE2220"/>
    <w:rsid w:val="00E15835"/>
    <w:rsid w:val="00E62EB5"/>
    <w:rsid w:val="00E74489"/>
    <w:rsid w:val="00F24BF3"/>
    <w:rsid w:val="00F46D74"/>
    <w:rsid w:val="00F4785A"/>
    <w:rsid w:val="00F54498"/>
    <w:rsid w:val="00F87CB3"/>
    <w:rsid w:val="00FA681D"/>
    <w:rsid w:val="00FE13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E0EE"/>
  <w15:chartTrackingRefBased/>
  <w15:docId w15:val="{6AB39362-9CD4-4944-8182-1581A055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A0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A0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A090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A090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A090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A090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A090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A090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A090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A090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A090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A090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A090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A090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A090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A090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A090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A090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A090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A090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A090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A090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A090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A0908"/>
    <w:rPr>
      <w:i/>
      <w:iCs/>
      <w:color w:val="404040" w:themeColor="text1" w:themeTint="BF"/>
    </w:rPr>
  </w:style>
  <w:style w:type="paragraph" w:styleId="Paragrafoelenco">
    <w:name w:val="List Paragraph"/>
    <w:basedOn w:val="Normale"/>
    <w:uiPriority w:val="34"/>
    <w:qFormat/>
    <w:rsid w:val="004A0908"/>
    <w:pPr>
      <w:ind w:left="720"/>
      <w:contextualSpacing/>
    </w:pPr>
  </w:style>
  <w:style w:type="character" w:styleId="Enfasiintensa">
    <w:name w:val="Intense Emphasis"/>
    <w:basedOn w:val="Carpredefinitoparagrafo"/>
    <w:uiPriority w:val="21"/>
    <w:qFormat/>
    <w:rsid w:val="004A0908"/>
    <w:rPr>
      <w:i/>
      <w:iCs/>
      <w:color w:val="0F4761" w:themeColor="accent1" w:themeShade="BF"/>
    </w:rPr>
  </w:style>
  <w:style w:type="paragraph" w:styleId="Citazioneintensa">
    <w:name w:val="Intense Quote"/>
    <w:basedOn w:val="Normale"/>
    <w:next w:val="Normale"/>
    <w:link w:val="CitazioneintensaCarattere"/>
    <w:uiPriority w:val="30"/>
    <w:qFormat/>
    <w:rsid w:val="004A0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A0908"/>
    <w:rPr>
      <w:i/>
      <w:iCs/>
      <w:color w:val="0F4761" w:themeColor="accent1" w:themeShade="BF"/>
    </w:rPr>
  </w:style>
  <w:style w:type="character" w:styleId="Riferimentointenso">
    <w:name w:val="Intense Reference"/>
    <w:basedOn w:val="Carpredefinitoparagrafo"/>
    <w:uiPriority w:val="32"/>
    <w:qFormat/>
    <w:rsid w:val="004A0908"/>
    <w:rPr>
      <w:b/>
      <w:bCs/>
      <w:smallCaps/>
      <w:color w:val="0F4761" w:themeColor="accent1" w:themeShade="BF"/>
      <w:spacing w:val="5"/>
    </w:rPr>
  </w:style>
  <w:style w:type="table" w:styleId="Grigliatabella">
    <w:name w:val="Table Grid"/>
    <w:basedOn w:val="Tabellanormale"/>
    <w:uiPriority w:val="39"/>
    <w:rsid w:val="00AD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AD1AE2"/>
    <w:rPr>
      <w:rFonts w:ascii="Times New Roman" w:hAnsi="Times New Roman" w:cs="Times New Roman"/>
    </w:rPr>
  </w:style>
  <w:style w:type="character" w:styleId="Enfasigrassetto">
    <w:name w:val="Strong"/>
    <w:basedOn w:val="Carpredefinitoparagrafo"/>
    <w:uiPriority w:val="22"/>
    <w:qFormat/>
    <w:rsid w:val="00AD1AE2"/>
    <w:rPr>
      <w:b/>
      <w:bCs/>
    </w:rPr>
  </w:style>
  <w:style w:type="character" w:customStyle="1" w:styleId="apple-converted-space">
    <w:name w:val="apple-converted-space"/>
    <w:basedOn w:val="Carpredefinitoparagrafo"/>
    <w:rsid w:val="00AD1AE2"/>
  </w:style>
  <w:style w:type="paragraph" w:styleId="Revisione">
    <w:name w:val="Revision"/>
    <w:hidden/>
    <w:uiPriority w:val="99"/>
    <w:semiHidden/>
    <w:rsid w:val="002D6B61"/>
  </w:style>
  <w:style w:type="paragraph" w:styleId="Testonotadichiusura">
    <w:name w:val="endnote text"/>
    <w:basedOn w:val="Normale"/>
    <w:link w:val="TestonotadichiusuraCarattere"/>
    <w:uiPriority w:val="99"/>
    <w:semiHidden/>
    <w:unhideWhenUsed/>
    <w:rsid w:val="000E54CB"/>
    <w:rPr>
      <w:sz w:val="20"/>
      <w:szCs w:val="20"/>
    </w:rPr>
  </w:style>
  <w:style w:type="character" w:customStyle="1" w:styleId="TestonotadichiusuraCarattere">
    <w:name w:val="Testo nota di chiusura Carattere"/>
    <w:basedOn w:val="Carpredefinitoparagrafo"/>
    <w:link w:val="Testonotadichiusura"/>
    <w:uiPriority w:val="99"/>
    <w:semiHidden/>
    <w:rsid w:val="000E54CB"/>
    <w:rPr>
      <w:sz w:val="20"/>
      <w:szCs w:val="20"/>
    </w:rPr>
  </w:style>
  <w:style w:type="character" w:styleId="Rimandonotadichiusura">
    <w:name w:val="endnote reference"/>
    <w:basedOn w:val="Carpredefinitoparagrafo"/>
    <w:uiPriority w:val="99"/>
    <w:semiHidden/>
    <w:unhideWhenUsed/>
    <w:rsid w:val="000E54CB"/>
    <w:rPr>
      <w:vertAlign w:val="superscript"/>
    </w:rPr>
  </w:style>
  <w:style w:type="table" w:customStyle="1" w:styleId="Style1">
    <w:name w:val="Style1"/>
    <w:basedOn w:val="Tabellaprofessionale"/>
    <w:uiPriority w:val="99"/>
    <w:rsid w:val="004A4C9F"/>
    <w:rPr>
      <w:lang w:val="en-GB"/>
    </w:rP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aprofessionale">
    <w:name w:val="Table Professional"/>
    <w:basedOn w:val="Tabellanormale"/>
    <w:uiPriority w:val="99"/>
    <w:semiHidden/>
    <w:unhideWhenUsed/>
    <w:rsid w:val="004A4C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llegamentoipertestuale">
    <w:name w:val="Hyperlink"/>
    <w:basedOn w:val="Carpredefinitoparagrafo"/>
    <w:uiPriority w:val="99"/>
    <w:unhideWhenUsed/>
    <w:rsid w:val="00D1279F"/>
    <w:rPr>
      <w:color w:val="467886" w:themeColor="hyperlink"/>
      <w:u w:val="single"/>
    </w:rPr>
  </w:style>
  <w:style w:type="character" w:styleId="Menzionenonrisolta">
    <w:name w:val="Unresolved Mention"/>
    <w:basedOn w:val="Carpredefinitoparagrafo"/>
    <w:uiPriority w:val="99"/>
    <w:semiHidden/>
    <w:unhideWhenUsed/>
    <w:rsid w:val="00D1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HORIZON-HLTH-2026-01-STAYHLTH-02?isExactMatch=true&amp;status=31094501,31094502,31094503&amp;callIdentifier=HORIZON-HLTH-2026-01&amp;order=DESC&amp;pageNumber=1&amp;pageSize=50&amp;sortBy=start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9EFF-74BE-6A4B-83F2-63AACD44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2498</Words>
  <Characters>14242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Marmora</dc:creator>
  <cp:keywords/>
  <dc:description/>
  <cp:lastModifiedBy>LOREDANA MARMORA</cp:lastModifiedBy>
  <cp:revision>7</cp:revision>
  <dcterms:created xsi:type="dcterms:W3CDTF">2026-01-29T11:34:00Z</dcterms:created>
  <dcterms:modified xsi:type="dcterms:W3CDTF">2026-03-30T16:02:00Z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2026-01-28T18:18:08Z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cc1c4369-acf3-4e98-9f54-5c3df335093b</vt:lpwstr>
  </property>
  <property fmtid="{D5CDD505-2E9C-101B-9397-08002B2CF9AE}" pid="8" name="MSIP_Label_5097a60d-5525-435b-8989-8eb48ac0c8cd_ContentBits">
    <vt:lpwstr>0</vt:lpwstr>
  </property>
  <property fmtid="{D5CDD505-2E9C-101B-9397-08002B2CF9AE}" pid="9" name="MSIP_Label_5097a60d-5525-435b-8989-8eb48ac0c8cd_Tag">
    <vt:lpwstr>50, 3, 0, 1</vt:lpwstr>
  </property>
</Properties>
</file>