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9787" w14:textId="77777777" w:rsidR="000445C1" w:rsidRPr="000445C1" w:rsidRDefault="000445C1" w:rsidP="000445C1">
      <w:r w:rsidRPr="000445C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2"/>
        <w:gridCol w:w="4840"/>
      </w:tblGrid>
      <w:tr w:rsidR="000445C1" w:rsidRPr="000445C1" w14:paraId="33667024" w14:textId="77777777">
        <w:trPr>
          <w:trHeight w:val="285"/>
        </w:trPr>
        <w:tc>
          <w:tcPr>
            <w:tcW w:w="5070" w:type="dxa"/>
            <w:tcBorders>
              <w:top w:val="single" w:sz="6" w:space="0" w:color="000000"/>
              <w:left w:val="single" w:sz="6" w:space="0" w:color="000000"/>
              <w:bottom w:val="single" w:sz="6" w:space="0" w:color="000000"/>
              <w:right w:val="single" w:sz="6" w:space="0" w:color="000000"/>
            </w:tcBorders>
            <w:shd w:val="clear" w:color="auto" w:fill="F2F2F2"/>
            <w:hideMark/>
          </w:tcPr>
          <w:p w14:paraId="165EFFC5" w14:textId="77777777" w:rsidR="000445C1" w:rsidRPr="000445C1" w:rsidRDefault="000445C1" w:rsidP="000445C1">
            <w:pPr>
              <w:rPr>
                <w:sz w:val="22"/>
                <w:szCs w:val="22"/>
              </w:rPr>
            </w:pPr>
            <w:r w:rsidRPr="000445C1">
              <w:rPr>
                <w:b/>
                <w:bCs/>
                <w:sz w:val="22"/>
                <w:szCs w:val="22"/>
                <w:lang w:val="en-GB"/>
              </w:rPr>
              <w:t>Work package number </w:t>
            </w:r>
            <w:r w:rsidRPr="000445C1">
              <w:rPr>
                <w:sz w:val="22"/>
                <w:szCs w:val="22"/>
              </w:rPr>
              <w:t> </w:t>
            </w:r>
          </w:p>
        </w:tc>
        <w:tc>
          <w:tcPr>
            <w:tcW w:w="5070" w:type="dxa"/>
            <w:tcBorders>
              <w:top w:val="single" w:sz="6" w:space="0" w:color="000000"/>
              <w:left w:val="single" w:sz="6" w:space="0" w:color="000000"/>
              <w:bottom w:val="single" w:sz="6" w:space="0" w:color="000000"/>
              <w:right w:val="single" w:sz="6" w:space="0" w:color="000000"/>
            </w:tcBorders>
            <w:hideMark/>
          </w:tcPr>
          <w:p w14:paraId="5586E75B" w14:textId="77777777" w:rsidR="000445C1" w:rsidRPr="000445C1" w:rsidRDefault="000445C1" w:rsidP="000445C1">
            <w:pPr>
              <w:rPr>
                <w:sz w:val="22"/>
                <w:szCs w:val="22"/>
              </w:rPr>
            </w:pPr>
            <w:r w:rsidRPr="000445C1">
              <w:rPr>
                <w:sz w:val="22"/>
                <w:szCs w:val="22"/>
                <w:lang w:val="en-GB"/>
              </w:rPr>
              <w:t>8</w:t>
            </w:r>
            <w:r w:rsidRPr="000445C1">
              <w:rPr>
                <w:sz w:val="22"/>
                <w:szCs w:val="22"/>
              </w:rPr>
              <w:t> </w:t>
            </w:r>
          </w:p>
        </w:tc>
      </w:tr>
      <w:tr w:rsidR="000445C1" w:rsidRPr="00E55C36" w14:paraId="2DB56979" w14:textId="77777777">
        <w:trPr>
          <w:trHeight w:val="285"/>
        </w:trPr>
        <w:tc>
          <w:tcPr>
            <w:tcW w:w="5070" w:type="dxa"/>
            <w:tcBorders>
              <w:top w:val="single" w:sz="6" w:space="0" w:color="000000"/>
              <w:left w:val="single" w:sz="6" w:space="0" w:color="000000"/>
              <w:bottom w:val="single" w:sz="6" w:space="0" w:color="000000"/>
              <w:right w:val="single" w:sz="6" w:space="0" w:color="000000"/>
            </w:tcBorders>
            <w:shd w:val="clear" w:color="auto" w:fill="F2F2F2"/>
            <w:hideMark/>
          </w:tcPr>
          <w:p w14:paraId="7BE8E5FF" w14:textId="77777777" w:rsidR="000445C1" w:rsidRPr="000445C1" w:rsidRDefault="000445C1" w:rsidP="000445C1">
            <w:pPr>
              <w:rPr>
                <w:sz w:val="22"/>
                <w:szCs w:val="22"/>
              </w:rPr>
            </w:pPr>
            <w:r w:rsidRPr="000445C1">
              <w:rPr>
                <w:b/>
                <w:bCs/>
                <w:sz w:val="22"/>
                <w:szCs w:val="22"/>
                <w:lang w:val="en-GB"/>
              </w:rPr>
              <w:t>Work package title</w:t>
            </w:r>
            <w:r w:rsidRPr="000445C1">
              <w:rPr>
                <w:sz w:val="22"/>
                <w:szCs w:val="22"/>
              </w:rPr>
              <w:t> </w:t>
            </w:r>
          </w:p>
        </w:tc>
        <w:tc>
          <w:tcPr>
            <w:tcW w:w="5070" w:type="dxa"/>
            <w:tcBorders>
              <w:top w:val="single" w:sz="6" w:space="0" w:color="000000"/>
              <w:left w:val="single" w:sz="6" w:space="0" w:color="000000"/>
              <w:bottom w:val="single" w:sz="6" w:space="0" w:color="000000"/>
              <w:right w:val="single" w:sz="6" w:space="0" w:color="000000"/>
            </w:tcBorders>
            <w:hideMark/>
          </w:tcPr>
          <w:p w14:paraId="30CC6E6F" w14:textId="77777777" w:rsidR="000445C1" w:rsidRPr="000445C1" w:rsidRDefault="000445C1" w:rsidP="000445C1">
            <w:pPr>
              <w:rPr>
                <w:sz w:val="22"/>
                <w:szCs w:val="22"/>
                <w:lang w:val="en-GB"/>
              </w:rPr>
            </w:pPr>
            <w:r w:rsidRPr="000445C1">
              <w:rPr>
                <w:sz w:val="22"/>
                <w:szCs w:val="22"/>
                <w:lang w:val="en-GB"/>
              </w:rPr>
              <w:t>Sustainable implementation, Policy simulation &amp; Foresight </w:t>
            </w:r>
          </w:p>
        </w:tc>
      </w:tr>
      <w:tr w:rsidR="000445C1" w:rsidRPr="00E55C36" w14:paraId="0DF2EEE7" w14:textId="77777777">
        <w:trPr>
          <w:trHeight w:val="285"/>
        </w:trPr>
        <w:tc>
          <w:tcPr>
            <w:tcW w:w="10155" w:type="dxa"/>
            <w:gridSpan w:val="2"/>
            <w:tcBorders>
              <w:top w:val="single" w:sz="6" w:space="0" w:color="000000"/>
              <w:left w:val="single" w:sz="6" w:space="0" w:color="000000"/>
              <w:bottom w:val="single" w:sz="6" w:space="0" w:color="000000"/>
              <w:right w:val="single" w:sz="6" w:space="0" w:color="000000"/>
            </w:tcBorders>
            <w:hideMark/>
          </w:tcPr>
          <w:p w14:paraId="239C15EF" w14:textId="77777777" w:rsidR="000445C1" w:rsidRPr="000445C1" w:rsidRDefault="000445C1" w:rsidP="000445C1">
            <w:pPr>
              <w:rPr>
                <w:sz w:val="22"/>
                <w:szCs w:val="22"/>
                <w:lang w:val="en-GB"/>
              </w:rPr>
            </w:pPr>
            <w:r w:rsidRPr="000445C1">
              <w:rPr>
                <w:b/>
                <w:bCs/>
                <w:sz w:val="22"/>
                <w:szCs w:val="22"/>
                <w:lang w:val="en-GB"/>
              </w:rPr>
              <w:t> Objectives</w:t>
            </w:r>
            <w:r w:rsidRPr="000445C1">
              <w:rPr>
                <w:sz w:val="22"/>
                <w:szCs w:val="22"/>
                <w:lang w:val="en-GB"/>
              </w:rPr>
              <w:t> </w:t>
            </w:r>
          </w:p>
          <w:p w14:paraId="36023689" w14:textId="77777777" w:rsidR="000445C1" w:rsidRPr="000445C1" w:rsidRDefault="000445C1" w:rsidP="000445C1">
            <w:pPr>
              <w:rPr>
                <w:sz w:val="22"/>
                <w:szCs w:val="22"/>
                <w:lang w:val="en-GB"/>
              </w:rPr>
            </w:pPr>
            <w:r w:rsidRPr="000445C1">
              <w:rPr>
                <w:sz w:val="22"/>
                <w:szCs w:val="22"/>
                <w:lang w:val="en-GB"/>
              </w:rPr>
              <w:t>(1) to identify emerging behavioural, social, and technological trends shaping youth health behaviours and NCD risk factors; (2) To explore plausible future scenarios to 2050 affecting the effectiveness, scalability and equity of behavioural interventions in different youth segments and contexts; (3) To integrate foresight and modelling to assess the long-term robustness, adaptability and policy relevance of intervention strategies under alternative future conditions; (4) To generate forward-looking policy recommendations, adaptation pathways and communication outputs to support sustainable implementation and uptake. </w:t>
            </w:r>
          </w:p>
        </w:tc>
      </w:tr>
      <w:tr w:rsidR="000445C1" w:rsidRPr="00E55C36" w14:paraId="24A0CFB7" w14:textId="77777777">
        <w:trPr>
          <w:trHeight w:val="810"/>
        </w:trPr>
        <w:tc>
          <w:tcPr>
            <w:tcW w:w="10155" w:type="dxa"/>
            <w:gridSpan w:val="2"/>
            <w:tcBorders>
              <w:top w:val="single" w:sz="6" w:space="0" w:color="000000"/>
              <w:left w:val="single" w:sz="6" w:space="0" w:color="000000"/>
              <w:bottom w:val="single" w:sz="6" w:space="0" w:color="000000"/>
              <w:right w:val="single" w:sz="6" w:space="0" w:color="000000"/>
            </w:tcBorders>
            <w:hideMark/>
          </w:tcPr>
          <w:p w14:paraId="3BC3D22F" w14:textId="77777777" w:rsidR="000445C1" w:rsidRPr="000445C1" w:rsidRDefault="000445C1" w:rsidP="000445C1">
            <w:pPr>
              <w:rPr>
                <w:sz w:val="22"/>
                <w:szCs w:val="22"/>
                <w:lang w:val="en-GB"/>
              </w:rPr>
            </w:pPr>
            <w:r w:rsidRPr="000445C1">
              <w:rPr>
                <w:b/>
                <w:bCs/>
                <w:sz w:val="22"/>
                <w:szCs w:val="22"/>
                <w:lang w:val="en-GB"/>
              </w:rPr>
              <w:t>Description of work</w:t>
            </w:r>
            <w:r w:rsidRPr="000445C1">
              <w:rPr>
                <w:sz w:val="22"/>
                <w:szCs w:val="22"/>
                <w:lang w:val="en-GB"/>
              </w:rPr>
              <w:t> </w:t>
            </w:r>
          </w:p>
          <w:p w14:paraId="62632CBD" w14:textId="14068949" w:rsidR="000445C1" w:rsidRPr="000445C1" w:rsidRDefault="000445C1" w:rsidP="000445C1">
            <w:pPr>
              <w:rPr>
                <w:sz w:val="22"/>
                <w:szCs w:val="22"/>
                <w:lang w:val="en-GB"/>
              </w:rPr>
            </w:pPr>
            <w:r w:rsidRPr="000445C1">
              <w:rPr>
                <w:b/>
                <w:bCs/>
                <w:sz w:val="22"/>
                <w:szCs w:val="22"/>
                <w:lang w:val="en-GB"/>
              </w:rPr>
              <w:t>T8.1 Horizon scanning, prioritisation of drivers and participatory sense-making </w:t>
            </w:r>
            <w:r w:rsidR="002122D5">
              <w:rPr>
                <w:b/>
                <w:bCs/>
                <w:sz w:val="22"/>
                <w:szCs w:val="22"/>
                <w:lang w:val="en-GB"/>
              </w:rPr>
              <w:t>M1</w:t>
            </w:r>
            <w:r w:rsidR="00643BA6">
              <w:rPr>
                <w:b/>
                <w:bCs/>
                <w:sz w:val="22"/>
                <w:szCs w:val="22"/>
                <w:lang w:val="en-GB"/>
              </w:rPr>
              <w:t>4</w:t>
            </w:r>
            <w:r w:rsidR="002122D5">
              <w:rPr>
                <w:b/>
                <w:bCs/>
                <w:sz w:val="22"/>
                <w:szCs w:val="22"/>
                <w:lang w:val="en-GB"/>
              </w:rPr>
              <w:t>-</w:t>
            </w:r>
            <w:r w:rsidR="003B3BF6">
              <w:rPr>
                <w:b/>
                <w:bCs/>
                <w:sz w:val="22"/>
                <w:szCs w:val="22"/>
                <w:lang w:val="en-GB"/>
              </w:rPr>
              <w:t>M2</w:t>
            </w:r>
            <w:r w:rsidR="00643BA6">
              <w:rPr>
                <w:b/>
                <w:bCs/>
                <w:sz w:val="22"/>
                <w:szCs w:val="22"/>
                <w:lang w:val="en-GB"/>
              </w:rPr>
              <w:t>6</w:t>
            </w:r>
            <w:r w:rsidR="00503949">
              <w:rPr>
                <w:b/>
                <w:bCs/>
                <w:sz w:val="22"/>
                <w:szCs w:val="22"/>
                <w:lang w:val="en-GB"/>
              </w:rPr>
              <w:t xml:space="preserve"> </w:t>
            </w:r>
            <w:r w:rsidRPr="000445C1">
              <w:rPr>
                <w:sz w:val="22"/>
                <w:szCs w:val="22"/>
                <w:lang w:val="en-GB"/>
              </w:rPr>
              <w:t xml:space="preserve">(Lead: ISINNOVA, </w:t>
            </w:r>
            <w:r w:rsidR="0000739A">
              <w:rPr>
                <w:sz w:val="22"/>
                <w:szCs w:val="22"/>
                <w:lang w:val="en-GB"/>
              </w:rPr>
              <w:t xml:space="preserve">Participants: </w:t>
            </w:r>
            <w:r w:rsidR="00E25FFB">
              <w:rPr>
                <w:sz w:val="22"/>
                <w:szCs w:val="22"/>
                <w:lang w:val="en-GB"/>
              </w:rPr>
              <w:t xml:space="preserve">ICL </w:t>
            </w:r>
            <w:proofErr w:type="gramStart"/>
            <w:r w:rsidRPr="000445C1">
              <w:rPr>
                <w:sz w:val="22"/>
                <w:szCs w:val="22"/>
                <w:lang w:val="en-GB"/>
              </w:rPr>
              <w:t>AUMC,</w:t>
            </w:r>
            <w:r w:rsidR="00ED0FC7">
              <w:rPr>
                <w:sz w:val="22"/>
                <w:szCs w:val="22"/>
                <w:lang w:val="en-GB"/>
              </w:rPr>
              <w:t>ICL</w:t>
            </w:r>
            <w:proofErr w:type="gramEnd"/>
            <w:r w:rsidR="00ED0FC7">
              <w:rPr>
                <w:sz w:val="22"/>
                <w:szCs w:val="22"/>
                <w:lang w:val="en-GB"/>
              </w:rPr>
              <w:t>,</w:t>
            </w:r>
            <w:r w:rsidR="00727D0A">
              <w:rPr>
                <w:sz w:val="22"/>
                <w:szCs w:val="22"/>
                <w:lang w:val="en-GB"/>
              </w:rPr>
              <w:t xml:space="preserve"> E</w:t>
            </w:r>
            <w:r w:rsidR="000F4322">
              <w:rPr>
                <w:sz w:val="22"/>
                <w:szCs w:val="22"/>
                <w:lang w:val="en-GB"/>
              </w:rPr>
              <w:t>hnet,</w:t>
            </w:r>
            <w:r w:rsidRPr="000445C1">
              <w:rPr>
                <w:sz w:val="22"/>
                <w:szCs w:val="22"/>
                <w:lang w:val="en-GB"/>
              </w:rPr>
              <w:t xml:space="preserve"> NIPH, NIJZ, </w:t>
            </w:r>
            <w:proofErr w:type="spellStart"/>
            <w:r w:rsidRPr="000445C1">
              <w:rPr>
                <w:sz w:val="22"/>
                <w:szCs w:val="22"/>
                <w:lang w:val="en-GB"/>
              </w:rPr>
              <w:t>Biosistema</w:t>
            </w:r>
            <w:proofErr w:type="spellEnd"/>
            <w:r w:rsidRPr="000445C1">
              <w:rPr>
                <w:sz w:val="22"/>
                <w:szCs w:val="22"/>
                <w:lang w:val="en-GB"/>
              </w:rPr>
              <w:t xml:space="preserve">, IPH, PHCU, </w:t>
            </w:r>
            <w:r w:rsidR="00ED0FC7">
              <w:rPr>
                <w:sz w:val="22"/>
                <w:szCs w:val="22"/>
                <w:lang w:val="en-GB"/>
              </w:rPr>
              <w:t xml:space="preserve">IC UK, </w:t>
            </w:r>
            <w:r w:rsidRPr="000445C1">
              <w:rPr>
                <w:sz w:val="22"/>
                <w:szCs w:val="22"/>
                <w:lang w:val="en-GB"/>
              </w:rPr>
              <w:t>PHZ) </w:t>
            </w:r>
          </w:p>
          <w:p w14:paraId="11B83C6F" w14:textId="77777777" w:rsidR="000445C1" w:rsidRPr="000445C1" w:rsidRDefault="000445C1" w:rsidP="000445C1">
            <w:pPr>
              <w:rPr>
                <w:sz w:val="22"/>
                <w:szCs w:val="22"/>
                <w:lang w:val="en-GB"/>
              </w:rPr>
            </w:pPr>
            <w:r w:rsidRPr="000445C1">
              <w:rPr>
                <w:sz w:val="22"/>
                <w:szCs w:val="22"/>
                <w:lang w:val="en-GB"/>
              </w:rPr>
              <w:t>This task initiates the foresight cycle through a structured horizon scanning and sense-making process aimed at identifying critical drivers of change, emerging trends, weak signals, and potential disruptions shaping youth health behaviours, NCD risk factors and exposure pathways linked to NCD prevention. The task combines: (</w:t>
            </w:r>
            <w:proofErr w:type="spellStart"/>
            <w:r w:rsidRPr="000445C1">
              <w:rPr>
                <w:sz w:val="22"/>
                <w:szCs w:val="22"/>
                <w:lang w:val="en-GB"/>
              </w:rPr>
              <w:t>i</w:t>
            </w:r>
            <w:proofErr w:type="spellEnd"/>
            <w:r w:rsidRPr="000445C1">
              <w:rPr>
                <w:sz w:val="22"/>
                <w:szCs w:val="22"/>
                <w:lang w:val="en-GB"/>
              </w:rPr>
              <w:t>) systematic desk research and review of scientific, grey and foresight literature; (ii) social media signal scanning across platforms and online spaces relevant to diverse youth segments, in order to detect evolving behaviours, attitudes, narratives, motivations, barriers and inequalities; (iii) stakeholder-informed inputs, including semi-structured interviews with multidisciplinary experts, to refine and contextualise emerging insights; and (iv) collective and participatory sense-making exercises with  a multidisciplinary panel (including youth representatives) to identify key trends, potential mismatches with intervention assumptions, and early warning signals of unintended consequences or exclusion. </w:t>
            </w:r>
          </w:p>
          <w:p w14:paraId="01FCE04B" w14:textId="139B7852" w:rsidR="000445C1" w:rsidRPr="000445C1" w:rsidRDefault="000445C1" w:rsidP="000445C1">
            <w:pPr>
              <w:rPr>
                <w:sz w:val="22"/>
                <w:szCs w:val="22"/>
                <w:lang w:val="en-GB"/>
              </w:rPr>
            </w:pPr>
            <w:r w:rsidRPr="000445C1">
              <w:rPr>
                <w:sz w:val="22"/>
                <w:szCs w:val="22"/>
                <w:lang w:val="en-GB"/>
              </w:rPr>
              <w:t>A Delphi-inspired survey process will then be used to assess the relevance and uncertainty of identified drivers and to prioritise key trends and critical uncertainties. The main outputs of this phased task will be </w:t>
            </w:r>
            <w:proofErr w:type="gramStart"/>
            <w:r w:rsidRPr="000445C1">
              <w:rPr>
                <w:sz w:val="22"/>
                <w:szCs w:val="22"/>
                <w:lang w:val="en-GB"/>
              </w:rPr>
              <w:t>a validated evidence</w:t>
            </w:r>
            <w:proofErr w:type="gramEnd"/>
            <w:r w:rsidRPr="000445C1">
              <w:rPr>
                <w:sz w:val="22"/>
                <w:szCs w:val="22"/>
                <w:lang w:val="en-GB"/>
              </w:rPr>
              <w:t xml:space="preserve"> base for </w:t>
            </w:r>
            <w:r w:rsidRPr="000445C1">
              <w:rPr>
                <w:color w:val="EE0000"/>
                <w:sz w:val="22"/>
                <w:szCs w:val="22"/>
                <w:lang w:val="en-GB"/>
              </w:rPr>
              <w:t>scenario development (T8.</w:t>
            </w:r>
            <w:r w:rsidR="001B738E" w:rsidRPr="0013540C">
              <w:rPr>
                <w:color w:val="EE0000"/>
                <w:sz w:val="22"/>
                <w:szCs w:val="22"/>
                <w:lang w:val="en-GB"/>
              </w:rPr>
              <w:t>2</w:t>
            </w:r>
            <w:r w:rsidRPr="000445C1">
              <w:rPr>
                <w:color w:val="EE0000"/>
                <w:sz w:val="22"/>
                <w:szCs w:val="22"/>
                <w:lang w:val="en-GB"/>
              </w:rPr>
              <w:t xml:space="preserve">) </w:t>
            </w:r>
            <w:r w:rsidRPr="000445C1">
              <w:rPr>
                <w:sz w:val="22"/>
                <w:szCs w:val="22"/>
                <w:lang w:val="en-GB"/>
              </w:rPr>
              <w:t>and for assessing the future robustness and equity implications of A-Z-HEALTH interventions (T8.4).  </w:t>
            </w:r>
          </w:p>
          <w:p w14:paraId="5D355C09" w14:textId="7E11C0E3" w:rsidR="000445C1" w:rsidRPr="000445C1" w:rsidRDefault="000445C1" w:rsidP="000445C1">
            <w:pPr>
              <w:rPr>
                <w:sz w:val="22"/>
                <w:szCs w:val="22"/>
                <w:lang w:val="en-GB"/>
              </w:rPr>
            </w:pPr>
            <w:r w:rsidRPr="000445C1">
              <w:rPr>
                <w:b/>
                <w:bCs/>
                <w:sz w:val="22"/>
                <w:szCs w:val="22"/>
                <w:lang w:val="en-GB"/>
              </w:rPr>
              <w:t>8.2</w:t>
            </w:r>
            <w:r w:rsidRPr="000445C1">
              <w:rPr>
                <w:sz w:val="22"/>
                <w:szCs w:val="22"/>
                <w:lang w:val="en-GB"/>
              </w:rPr>
              <w:t> </w:t>
            </w:r>
            <w:r w:rsidRPr="000445C1">
              <w:rPr>
                <w:b/>
                <w:bCs/>
                <w:sz w:val="22"/>
                <w:szCs w:val="22"/>
                <w:lang w:val="en-GB"/>
              </w:rPr>
              <w:t>Scenario development and stress testing of interventions </w:t>
            </w:r>
            <w:r w:rsidR="003D2EEF">
              <w:rPr>
                <w:b/>
                <w:bCs/>
                <w:sz w:val="22"/>
                <w:szCs w:val="22"/>
                <w:lang w:val="en-GB"/>
              </w:rPr>
              <w:t xml:space="preserve">M25 -M38 </w:t>
            </w:r>
            <w:r w:rsidRPr="000445C1">
              <w:rPr>
                <w:sz w:val="22"/>
                <w:szCs w:val="22"/>
                <w:lang w:val="en-GB"/>
              </w:rPr>
              <w:t>Lead: ISINNOVA</w:t>
            </w:r>
            <w:r w:rsidR="00ED0FC7">
              <w:rPr>
                <w:sz w:val="22"/>
                <w:szCs w:val="22"/>
                <w:lang w:val="en-GB"/>
              </w:rPr>
              <w:t xml:space="preserve"> </w:t>
            </w:r>
            <w:r w:rsidR="00E25FFB">
              <w:rPr>
                <w:sz w:val="22"/>
                <w:szCs w:val="22"/>
                <w:lang w:val="en-GB"/>
              </w:rPr>
              <w:t>–</w:t>
            </w:r>
            <w:r w:rsidR="00ED0FC7">
              <w:rPr>
                <w:sz w:val="22"/>
                <w:szCs w:val="22"/>
                <w:lang w:val="en-GB"/>
              </w:rPr>
              <w:t xml:space="preserve"> </w:t>
            </w:r>
            <w:r w:rsidR="00E25FFB">
              <w:rPr>
                <w:sz w:val="22"/>
                <w:szCs w:val="22"/>
                <w:lang w:val="en-GB"/>
              </w:rPr>
              <w:t xml:space="preserve">ICL, </w:t>
            </w:r>
            <w:proofErr w:type="gramStart"/>
            <w:r w:rsidR="00ED0FC7" w:rsidRPr="000445C1">
              <w:rPr>
                <w:sz w:val="22"/>
                <w:szCs w:val="22"/>
                <w:lang w:val="en-GB"/>
              </w:rPr>
              <w:t>AUMC,</w:t>
            </w:r>
            <w:r w:rsidR="00ED0FC7">
              <w:rPr>
                <w:sz w:val="22"/>
                <w:szCs w:val="22"/>
                <w:lang w:val="en-GB"/>
              </w:rPr>
              <w:t>ICL</w:t>
            </w:r>
            <w:proofErr w:type="gramEnd"/>
            <w:r w:rsidR="00ED0FC7">
              <w:rPr>
                <w:sz w:val="22"/>
                <w:szCs w:val="22"/>
                <w:lang w:val="en-GB"/>
              </w:rPr>
              <w:t>, Ehnet,</w:t>
            </w:r>
            <w:r w:rsidR="00ED0FC7" w:rsidRPr="000445C1">
              <w:rPr>
                <w:sz w:val="22"/>
                <w:szCs w:val="22"/>
                <w:lang w:val="en-GB"/>
              </w:rPr>
              <w:t xml:space="preserve"> NIPH, NIJZ, </w:t>
            </w:r>
            <w:proofErr w:type="spellStart"/>
            <w:r w:rsidR="00ED0FC7" w:rsidRPr="000445C1">
              <w:rPr>
                <w:sz w:val="22"/>
                <w:szCs w:val="22"/>
                <w:lang w:val="en-GB"/>
              </w:rPr>
              <w:t>Biosistema</w:t>
            </w:r>
            <w:proofErr w:type="spellEnd"/>
            <w:r w:rsidR="00ED0FC7" w:rsidRPr="000445C1">
              <w:rPr>
                <w:sz w:val="22"/>
                <w:szCs w:val="22"/>
                <w:lang w:val="en-GB"/>
              </w:rPr>
              <w:t xml:space="preserve">, IPH, PHCU, </w:t>
            </w:r>
            <w:r w:rsidR="00ED0FC7">
              <w:rPr>
                <w:sz w:val="22"/>
                <w:szCs w:val="22"/>
                <w:lang w:val="en-GB"/>
              </w:rPr>
              <w:t xml:space="preserve">IC UK, </w:t>
            </w:r>
            <w:r w:rsidR="00ED0FC7" w:rsidRPr="000445C1">
              <w:rPr>
                <w:sz w:val="22"/>
                <w:szCs w:val="22"/>
                <w:lang w:val="en-GB"/>
              </w:rPr>
              <w:t>PHZ</w:t>
            </w:r>
          </w:p>
          <w:p w14:paraId="6318A75A" w14:textId="77777777" w:rsidR="000445C1" w:rsidRPr="000445C1" w:rsidRDefault="000445C1" w:rsidP="000445C1">
            <w:pPr>
              <w:rPr>
                <w:sz w:val="22"/>
                <w:szCs w:val="22"/>
                <w:lang w:val="en-GB"/>
              </w:rPr>
            </w:pPr>
            <w:r w:rsidRPr="000445C1">
              <w:rPr>
                <w:sz w:val="22"/>
                <w:szCs w:val="22"/>
                <w:lang w:val="en-GB"/>
              </w:rPr>
              <w:t>Building on the prioritised trends and uncertainties identified in T8.1, this task will develop a coherent scenario space and a set of 3–4 plausible future scenarios (to 2050) describing how youth health behaviours and key drivers of NCDs may evolve. The scenarios will be co-developed through participatory foresight methods involving youth representatives, researchers, and stakeholders, ensuring diversity of perspectives and analytical relevance. The process will include a </w:t>
            </w:r>
            <w:r w:rsidRPr="000445C1">
              <w:rPr>
                <w:b/>
                <w:bCs/>
                <w:sz w:val="22"/>
                <w:szCs w:val="22"/>
                <w:lang w:val="en-GB"/>
              </w:rPr>
              <w:t>scenario consolidation workshop</w:t>
            </w:r>
            <w:r w:rsidRPr="000445C1">
              <w:rPr>
                <w:sz w:val="22"/>
                <w:szCs w:val="22"/>
                <w:lang w:val="en-GB"/>
              </w:rPr>
              <w:t xml:space="preserve"> to collaboratively define key axes of uncertainty derived from the prioritised drivers and construct contrasting scenario logics capturing alternative evolutions of behavioural dynamics, social norms, and structural determinants affecting youth. Scenario narratives will then be </w:t>
            </w:r>
            <w:r w:rsidRPr="000445C1">
              <w:rPr>
                <w:sz w:val="22"/>
                <w:szCs w:val="22"/>
                <w:lang w:val="en-GB"/>
              </w:rPr>
              <w:lastRenderedPageBreak/>
              <w:t>elaborated and validated through structured consistency checks and expert validation to ensure analytical rigour, coherence, and plausibility. </w:t>
            </w:r>
          </w:p>
          <w:p w14:paraId="43D90F9F" w14:textId="77777777" w:rsidR="000445C1" w:rsidRPr="000445C1" w:rsidRDefault="000445C1" w:rsidP="000445C1">
            <w:pPr>
              <w:rPr>
                <w:sz w:val="22"/>
                <w:szCs w:val="22"/>
                <w:lang w:val="en-GB"/>
              </w:rPr>
            </w:pPr>
            <w:proofErr w:type="gramStart"/>
            <w:r w:rsidRPr="000445C1">
              <w:rPr>
                <w:sz w:val="22"/>
                <w:szCs w:val="22"/>
                <w:lang w:val="en-GB"/>
              </w:rPr>
              <w:t>Particular attention</w:t>
            </w:r>
            <w:proofErr w:type="gramEnd"/>
            <w:r w:rsidRPr="000445C1">
              <w:rPr>
                <w:sz w:val="22"/>
                <w:szCs w:val="22"/>
                <w:lang w:val="en-GB"/>
              </w:rPr>
              <w:t> will be paid to how emerging trends in digital platforms, social norms, commercial exposure patterns, institutional trust, and regulatory conditions may reshape behavioural dynamics and intervention contexts across socio-economic and cultural settings. </w:t>
            </w:r>
          </w:p>
          <w:p w14:paraId="79391E20" w14:textId="77777777" w:rsidR="000445C1" w:rsidRPr="000445C1" w:rsidRDefault="000445C1" w:rsidP="000445C1">
            <w:pPr>
              <w:rPr>
                <w:sz w:val="22"/>
                <w:szCs w:val="22"/>
              </w:rPr>
            </w:pPr>
            <w:r w:rsidRPr="000445C1">
              <w:rPr>
                <w:sz w:val="22"/>
                <w:szCs w:val="22"/>
                <w:lang w:val="en-GB"/>
              </w:rPr>
              <w:t>The scenarios will subsequently be used as a </w:t>
            </w:r>
            <w:r w:rsidRPr="000445C1">
              <w:rPr>
                <w:b/>
                <w:bCs/>
                <w:sz w:val="22"/>
                <w:szCs w:val="22"/>
                <w:lang w:val="en-GB"/>
              </w:rPr>
              <w:t>framework to stress test behavioural interventions</w:t>
            </w:r>
            <w:r w:rsidRPr="000445C1">
              <w:rPr>
                <w:sz w:val="22"/>
                <w:szCs w:val="22"/>
                <w:lang w:val="en-GB"/>
              </w:rPr>
              <w:t> targeting NCD prevention and associated policy approaches. This will assess:</w:t>
            </w:r>
            <w:r w:rsidRPr="000445C1">
              <w:rPr>
                <w:sz w:val="22"/>
                <w:szCs w:val="22"/>
              </w:rPr>
              <w:t> </w:t>
            </w:r>
          </w:p>
          <w:p w14:paraId="1F45A9E3" w14:textId="77777777" w:rsidR="000445C1" w:rsidRPr="00617665" w:rsidRDefault="000445C1" w:rsidP="00617665">
            <w:pPr>
              <w:pStyle w:val="Paragrafoelenco"/>
              <w:numPr>
                <w:ilvl w:val="0"/>
                <w:numId w:val="6"/>
              </w:numPr>
              <w:rPr>
                <w:sz w:val="22"/>
                <w:szCs w:val="22"/>
                <w:lang w:val="en-GB"/>
              </w:rPr>
            </w:pPr>
            <w:r w:rsidRPr="00617665">
              <w:rPr>
                <w:sz w:val="22"/>
                <w:szCs w:val="22"/>
                <w:lang w:val="en-GB"/>
              </w:rPr>
              <w:t>robustness and fragility of intervention mechanisms under different future conditions  </w:t>
            </w:r>
          </w:p>
          <w:p w14:paraId="4E933178" w14:textId="77777777" w:rsidR="000445C1" w:rsidRPr="00617665" w:rsidRDefault="000445C1" w:rsidP="00617665">
            <w:pPr>
              <w:pStyle w:val="Paragrafoelenco"/>
              <w:numPr>
                <w:ilvl w:val="0"/>
                <w:numId w:val="6"/>
              </w:numPr>
              <w:rPr>
                <w:sz w:val="22"/>
                <w:szCs w:val="22"/>
                <w:lang w:val="en-GB"/>
              </w:rPr>
            </w:pPr>
            <w:r w:rsidRPr="00617665">
              <w:rPr>
                <w:sz w:val="22"/>
                <w:szCs w:val="22"/>
                <w:lang w:val="en-GB"/>
              </w:rPr>
              <w:t>scalability and transferability across youth segments and countries  </w:t>
            </w:r>
          </w:p>
          <w:p w14:paraId="7FDDB7C9" w14:textId="77777777" w:rsidR="000445C1" w:rsidRPr="00617665" w:rsidRDefault="000445C1" w:rsidP="00617665">
            <w:pPr>
              <w:pStyle w:val="Paragrafoelenco"/>
              <w:numPr>
                <w:ilvl w:val="0"/>
                <w:numId w:val="6"/>
              </w:numPr>
              <w:rPr>
                <w:sz w:val="22"/>
                <w:szCs w:val="22"/>
                <w:lang w:val="en-GB"/>
              </w:rPr>
            </w:pPr>
            <w:r w:rsidRPr="00617665">
              <w:rPr>
                <w:sz w:val="22"/>
                <w:szCs w:val="22"/>
                <w:lang w:val="en-GB"/>
              </w:rPr>
              <w:t>potential equity implications, including risks of exclusion or widening inequalities   </w:t>
            </w:r>
          </w:p>
          <w:p w14:paraId="7BF9EBF0" w14:textId="47D4D4A3" w:rsidR="000445C1" w:rsidRPr="00617665" w:rsidRDefault="000445C1" w:rsidP="00617665">
            <w:pPr>
              <w:pStyle w:val="Paragrafoelenco"/>
              <w:numPr>
                <w:ilvl w:val="0"/>
                <w:numId w:val="6"/>
              </w:numPr>
              <w:rPr>
                <w:sz w:val="22"/>
                <w:szCs w:val="22"/>
                <w:lang w:val="en-GB"/>
              </w:rPr>
            </w:pPr>
            <w:r w:rsidRPr="00617665">
              <w:rPr>
                <w:sz w:val="22"/>
                <w:szCs w:val="22"/>
                <w:lang w:val="en-GB"/>
              </w:rPr>
              <w:t>needs for policy adjustment, complementary measures, or safeguarding mechanisms </w:t>
            </w:r>
          </w:p>
          <w:p w14:paraId="6D59A251" w14:textId="45D0F726" w:rsidR="000445C1" w:rsidRPr="000445C1" w:rsidRDefault="000445C1" w:rsidP="000445C1">
            <w:pPr>
              <w:rPr>
                <w:sz w:val="22"/>
                <w:szCs w:val="22"/>
                <w:lang w:val="en-GB"/>
              </w:rPr>
            </w:pPr>
            <w:r w:rsidRPr="000445C1">
              <w:rPr>
                <w:sz w:val="22"/>
                <w:szCs w:val="22"/>
                <w:lang w:val="en-GB"/>
              </w:rPr>
              <w:t>This task will provide the strategic bridge between qualitative foresight and quantitative </w:t>
            </w:r>
            <w:proofErr w:type="gramStart"/>
            <w:r w:rsidRPr="000445C1">
              <w:rPr>
                <w:sz w:val="22"/>
                <w:szCs w:val="22"/>
                <w:lang w:val="en-GB"/>
              </w:rPr>
              <w:t>modelling, and</w:t>
            </w:r>
            <w:proofErr w:type="gramEnd"/>
            <w:r w:rsidRPr="000445C1">
              <w:rPr>
                <w:sz w:val="22"/>
                <w:szCs w:val="22"/>
                <w:lang w:val="en-GB"/>
              </w:rPr>
              <w:t> will support the development of future-proof intervention and policy pathways in T8.4. </w:t>
            </w:r>
          </w:p>
          <w:p w14:paraId="22B4F011" w14:textId="1E6102FC" w:rsidR="000445C1" w:rsidRPr="000445C1" w:rsidRDefault="000445C1" w:rsidP="000445C1">
            <w:pPr>
              <w:rPr>
                <w:sz w:val="22"/>
                <w:szCs w:val="22"/>
                <w:lang w:val="en-GB"/>
              </w:rPr>
            </w:pPr>
            <w:r w:rsidRPr="000445C1">
              <w:rPr>
                <w:rFonts w:ascii="Arial" w:hAnsi="Arial" w:cs="Arial"/>
                <w:sz w:val="22"/>
                <w:szCs w:val="22"/>
                <w:lang w:val="en-GB"/>
              </w:rPr>
              <w:t>​​​</w:t>
            </w:r>
            <w:r w:rsidRPr="000445C1">
              <w:rPr>
                <w:b/>
                <w:bCs/>
                <w:sz w:val="22"/>
                <w:szCs w:val="22"/>
                <w:lang w:val="en-GB"/>
              </w:rPr>
              <w:t>T8.3 Policy simulation and modelling of long-term impacts </w:t>
            </w:r>
            <w:r w:rsidR="003D2EEF">
              <w:rPr>
                <w:b/>
                <w:bCs/>
                <w:sz w:val="22"/>
                <w:szCs w:val="22"/>
                <w:lang w:val="en-GB"/>
              </w:rPr>
              <w:t xml:space="preserve">M25-M38 </w:t>
            </w:r>
            <w:r w:rsidRPr="000445C1">
              <w:rPr>
                <w:sz w:val="22"/>
                <w:szCs w:val="22"/>
                <w:lang w:val="en-GB"/>
              </w:rPr>
              <w:t>(Lead: ICL –</w:t>
            </w:r>
            <w:r w:rsidR="000F08F1">
              <w:rPr>
                <w:sz w:val="22"/>
                <w:szCs w:val="22"/>
                <w:lang w:val="en-GB"/>
              </w:rPr>
              <w:t xml:space="preserve"> Participants: </w:t>
            </w:r>
            <w:r w:rsidR="000F08F1" w:rsidRPr="000445C1">
              <w:rPr>
                <w:sz w:val="22"/>
                <w:szCs w:val="22"/>
                <w:lang w:val="en-GB"/>
              </w:rPr>
              <w:t>ISINNOVA</w:t>
            </w:r>
            <w:r w:rsidR="000F08F1">
              <w:rPr>
                <w:sz w:val="22"/>
                <w:szCs w:val="22"/>
                <w:lang w:val="en-GB"/>
              </w:rPr>
              <w:t xml:space="preserve"> - </w:t>
            </w:r>
            <w:proofErr w:type="gramStart"/>
            <w:r w:rsidR="000F08F1" w:rsidRPr="000445C1">
              <w:rPr>
                <w:sz w:val="22"/>
                <w:szCs w:val="22"/>
                <w:lang w:val="en-GB"/>
              </w:rPr>
              <w:t>AUMC,</w:t>
            </w:r>
            <w:r w:rsidR="000F08F1">
              <w:rPr>
                <w:sz w:val="22"/>
                <w:szCs w:val="22"/>
                <w:lang w:val="en-GB"/>
              </w:rPr>
              <w:t>ICL</w:t>
            </w:r>
            <w:proofErr w:type="gramEnd"/>
            <w:r w:rsidR="000F08F1">
              <w:rPr>
                <w:sz w:val="22"/>
                <w:szCs w:val="22"/>
                <w:lang w:val="en-GB"/>
              </w:rPr>
              <w:t>, Ehnet,</w:t>
            </w:r>
            <w:r w:rsidR="000F08F1" w:rsidRPr="000445C1">
              <w:rPr>
                <w:sz w:val="22"/>
                <w:szCs w:val="22"/>
                <w:lang w:val="en-GB"/>
              </w:rPr>
              <w:t xml:space="preserve"> NIPH, NIJZ, </w:t>
            </w:r>
            <w:proofErr w:type="spellStart"/>
            <w:r w:rsidR="000F08F1" w:rsidRPr="000445C1">
              <w:rPr>
                <w:sz w:val="22"/>
                <w:szCs w:val="22"/>
                <w:lang w:val="en-GB"/>
              </w:rPr>
              <w:t>Biosistema</w:t>
            </w:r>
            <w:proofErr w:type="spellEnd"/>
            <w:r w:rsidR="000F08F1" w:rsidRPr="000445C1">
              <w:rPr>
                <w:sz w:val="22"/>
                <w:szCs w:val="22"/>
                <w:lang w:val="en-GB"/>
              </w:rPr>
              <w:t xml:space="preserve">, IPH, PHCU, </w:t>
            </w:r>
            <w:r w:rsidR="000F08F1">
              <w:rPr>
                <w:sz w:val="22"/>
                <w:szCs w:val="22"/>
                <w:lang w:val="en-GB"/>
              </w:rPr>
              <w:t xml:space="preserve">IC UK, </w:t>
            </w:r>
            <w:r w:rsidR="000F08F1" w:rsidRPr="000445C1">
              <w:rPr>
                <w:sz w:val="22"/>
                <w:szCs w:val="22"/>
                <w:lang w:val="en-GB"/>
              </w:rPr>
              <w:t>PHZ</w:t>
            </w:r>
            <w:r w:rsidR="00731519">
              <w:rPr>
                <w:sz w:val="22"/>
                <w:szCs w:val="22"/>
                <w:lang w:val="en-GB"/>
              </w:rPr>
              <w:t>)</w:t>
            </w:r>
          </w:p>
          <w:p w14:paraId="126A92B9" w14:textId="77777777" w:rsidR="000445C1" w:rsidRPr="000445C1" w:rsidRDefault="000445C1" w:rsidP="000445C1">
            <w:pPr>
              <w:rPr>
                <w:sz w:val="22"/>
                <w:szCs w:val="22"/>
                <w:lang w:val="en-GB"/>
              </w:rPr>
            </w:pPr>
            <w:r w:rsidRPr="000445C1">
              <w:rPr>
                <w:sz w:val="22"/>
                <w:szCs w:val="22"/>
                <w:lang w:val="en-GB"/>
              </w:rPr>
              <w:t>This task uses Health-GPS — ICL's open-source NCD policy simulation tool — to estimate the long-term population-level health and economic impacts of scaling A-Z-HEALTH interventions, and to test the robustness of those estimates under alternative future behavioural conditions. Causal effect estimates and evidence packages from T7.4 provide the primary intervention inputs. Health-GPS estimates impact as the difference between a projected baseline trajectory of behavioural risk factors, disease incidence, and healthcare expenditure in the absence of intervention, and a counterfactual scenario in which effect sizes are applied. Projections extend over a 20–30-year horizon, estimating changes in disease burden (DALYs, years of life lost) and healthcare expenditure, disaggregated by age, sex, and socioeconomic status, enabling cost-effectiveness and distributional impact assessment. </w:t>
            </w:r>
          </w:p>
          <w:p w14:paraId="092716D4" w14:textId="477548FA" w:rsidR="000445C1" w:rsidRPr="000445C1" w:rsidRDefault="000445C1" w:rsidP="000445C1">
            <w:pPr>
              <w:rPr>
                <w:sz w:val="22"/>
                <w:szCs w:val="22"/>
                <w:lang w:val="en-GB"/>
              </w:rPr>
            </w:pPr>
            <w:r w:rsidRPr="000445C1">
              <w:rPr>
                <w:sz w:val="22"/>
                <w:szCs w:val="22"/>
                <w:lang w:val="en-GB"/>
              </w:rPr>
              <w:t>The realism of the baseline is central to the task's analytical contribution. Rather than extrapolating current behavioural conditions forward, A-Z-HEALTH uses scenario narratives developed in T8.3 to inform baseline trajectory assumptions and define the parameter space for sensitivity analyses. This allows Health-GPS to generate a range of conditional impact projections — reflecting both intervention effects under current conditions and how those effects may change if underlying behavioural trends shift as the foresight scenarios suggest. The task works in close coordination with T8.3 to ensure scenario narratives are translated into concrete modelling inputs, and with T7.4 to ensure effect size inputs reflect the full uncertainty range of the evaluation evidence. Outputs provide the modelling backbone for the integrated policy pathways and recommendations developed in T8.4. </w:t>
            </w:r>
          </w:p>
          <w:p w14:paraId="3BA380C2" w14:textId="10A02DD4" w:rsidR="000445C1" w:rsidRPr="000445C1" w:rsidRDefault="000445C1" w:rsidP="000445C1">
            <w:pPr>
              <w:rPr>
                <w:sz w:val="22"/>
                <w:szCs w:val="22"/>
                <w:lang w:val="en-GB"/>
              </w:rPr>
            </w:pPr>
            <w:r w:rsidRPr="000445C1">
              <w:rPr>
                <w:b/>
                <w:bCs/>
                <w:sz w:val="22"/>
                <w:szCs w:val="22"/>
                <w:lang w:val="en-GB"/>
              </w:rPr>
              <w:t>T8.4 Evaluation of integrated pathways, policy recommendations for scale up </w:t>
            </w:r>
            <w:r w:rsidR="00A673A3">
              <w:rPr>
                <w:b/>
                <w:bCs/>
                <w:sz w:val="22"/>
                <w:szCs w:val="22"/>
                <w:lang w:val="en-GB"/>
              </w:rPr>
              <w:t>(M37-M48)</w:t>
            </w:r>
            <w:r w:rsidRPr="000445C1">
              <w:rPr>
                <w:b/>
                <w:bCs/>
                <w:sz w:val="22"/>
                <w:szCs w:val="22"/>
                <w:lang w:val="en-GB"/>
              </w:rPr>
              <w:t> </w:t>
            </w:r>
            <w:r w:rsidR="00731519" w:rsidRPr="000445C1">
              <w:rPr>
                <w:sz w:val="22"/>
                <w:szCs w:val="22"/>
                <w:lang w:val="en-GB"/>
              </w:rPr>
              <w:t>Lead: ICL –</w:t>
            </w:r>
            <w:r w:rsidR="00731519">
              <w:rPr>
                <w:sz w:val="22"/>
                <w:szCs w:val="22"/>
                <w:lang w:val="en-GB"/>
              </w:rPr>
              <w:t xml:space="preserve"> Participants: </w:t>
            </w:r>
            <w:r w:rsidR="00731519" w:rsidRPr="000445C1">
              <w:rPr>
                <w:sz w:val="22"/>
                <w:szCs w:val="22"/>
                <w:lang w:val="en-GB"/>
              </w:rPr>
              <w:t>ISINNOVA</w:t>
            </w:r>
            <w:r w:rsidR="00731519">
              <w:rPr>
                <w:sz w:val="22"/>
                <w:szCs w:val="22"/>
                <w:lang w:val="en-GB"/>
              </w:rPr>
              <w:t xml:space="preserve"> - </w:t>
            </w:r>
            <w:proofErr w:type="gramStart"/>
            <w:r w:rsidR="00731519" w:rsidRPr="000445C1">
              <w:rPr>
                <w:sz w:val="22"/>
                <w:szCs w:val="22"/>
                <w:lang w:val="en-GB"/>
              </w:rPr>
              <w:t>AUMC,</w:t>
            </w:r>
            <w:r w:rsidR="00731519">
              <w:rPr>
                <w:sz w:val="22"/>
                <w:szCs w:val="22"/>
                <w:lang w:val="en-GB"/>
              </w:rPr>
              <w:t>ICL</w:t>
            </w:r>
            <w:proofErr w:type="gramEnd"/>
            <w:r w:rsidR="00731519">
              <w:rPr>
                <w:sz w:val="22"/>
                <w:szCs w:val="22"/>
                <w:lang w:val="en-GB"/>
              </w:rPr>
              <w:t>, Ehnet,</w:t>
            </w:r>
            <w:r w:rsidR="00731519" w:rsidRPr="000445C1">
              <w:rPr>
                <w:sz w:val="22"/>
                <w:szCs w:val="22"/>
                <w:lang w:val="en-GB"/>
              </w:rPr>
              <w:t xml:space="preserve"> NIPH, NIJZ, </w:t>
            </w:r>
            <w:proofErr w:type="spellStart"/>
            <w:r w:rsidR="00731519" w:rsidRPr="000445C1">
              <w:rPr>
                <w:sz w:val="22"/>
                <w:szCs w:val="22"/>
                <w:lang w:val="en-GB"/>
              </w:rPr>
              <w:t>Biosistema</w:t>
            </w:r>
            <w:proofErr w:type="spellEnd"/>
            <w:r w:rsidR="00731519" w:rsidRPr="000445C1">
              <w:rPr>
                <w:sz w:val="22"/>
                <w:szCs w:val="22"/>
                <w:lang w:val="en-GB"/>
              </w:rPr>
              <w:t xml:space="preserve">, IPH, PHCU, </w:t>
            </w:r>
            <w:r w:rsidR="00731519">
              <w:rPr>
                <w:sz w:val="22"/>
                <w:szCs w:val="22"/>
                <w:lang w:val="en-GB"/>
              </w:rPr>
              <w:t xml:space="preserve">IC UK, </w:t>
            </w:r>
            <w:r w:rsidR="00731519" w:rsidRPr="000445C1">
              <w:rPr>
                <w:sz w:val="22"/>
                <w:szCs w:val="22"/>
                <w:lang w:val="en-GB"/>
              </w:rPr>
              <w:t>PHZ</w:t>
            </w:r>
            <w:r w:rsidR="00731519">
              <w:rPr>
                <w:sz w:val="22"/>
                <w:szCs w:val="22"/>
                <w:lang w:val="en-GB"/>
              </w:rPr>
              <w:t>)</w:t>
            </w:r>
            <w:r w:rsidR="00731519" w:rsidRPr="000445C1">
              <w:rPr>
                <w:sz w:val="22"/>
                <w:szCs w:val="22"/>
                <w:lang w:val="en-GB"/>
              </w:rPr>
              <w:t xml:space="preserve"> </w:t>
            </w:r>
          </w:p>
          <w:p w14:paraId="0A8F5FBB" w14:textId="77777777" w:rsidR="000445C1" w:rsidRPr="000445C1" w:rsidRDefault="000445C1" w:rsidP="000445C1">
            <w:pPr>
              <w:rPr>
                <w:sz w:val="22"/>
                <w:szCs w:val="22"/>
                <w:lang w:val="en-GB"/>
              </w:rPr>
            </w:pPr>
            <w:r w:rsidRPr="000445C1">
              <w:rPr>
                <w:sz w:val="22"/>
                <w:szCs w:val="22"/>
                <w:lang w:val="en-GB"/>
              </w:rPr>
              <w:t xml:space="preserve">This task will synthesise the findings from modelling and foresight into actionable policy pathways and recommendations to support the sustainable implementation of A-Z-HEALTH interventions. It will identify how interventions may need to be adapted, combined, or sequenced under different </w:t>
            </w:r>
            <w:r w:rsidRPr="000445C1">
              <w:rPr>
                <w:sz w:val="22"/>
                <w:szCs w:val="22"/>
                <w:lang w:val="en-GB"/>
              </w:rPr>
              <w:lastRenderedPageBreak/>
              <w:t>future conditions, and which regulatory, educational, communicative, and infrastructural levers are needed to support their implementation and scale-up. </w:t>
            </w:r>
          </w:p>
          <w:p w14:paraId="0AA1E7D8" w14:textId="288DDA19" w:rsidR="000445C1" w:rsidRPr="000445C1" w:rsidRDefault="000445C1" w:rsidP="000445C1">
            <w:pPr>
              <w:rPr>
                <w:sz w:val="22"/>
                <w:szCs w:val="22"/>
                <w:lang w:val="en-GB"/>
              </w:rPr>
            </w:pPr>
            <w:r w:rsidRPr="000445C1">
              <w:rPr>
                <w:sz w:val="22"/>
                <w:szCs w:val="22"/>
                <w:lang w:val="en-GB"/>
              </w:rPr>
              <w:t>The task will translate the integrated outputs of Tasks 8.2 and 8.3 into policy-relevant recommendations for EU, national, and local actors, with attention to intervention effectiveness, equity, and long-term resilience. Recommendations will be developed through a structured synthesis of Health-GPS modelling outputs and foresight scenario findings, validated across national contexts through a multi-stakeholder policy dialogue convened by ISINNOVA. An equity lens will be applied throughout, identifying where recommended pathways carry risks of exclusion and proposing accompanying safeguards.  Scale up recommendations will carry an explicit equity condition specifying the structural context in which it can be expected to narrow rather than widen gradients. Recommendations will be addressed separately to national ministries (which components can be embedded in existing school food standards, digital governance frameworks, and public health guidelines), municipalities (which built and retail environment levers are predicted to narrow exposure gradients at population level), and EU regulators and platform governance actors (which platform-level structural interventions are most feasible and most equitable across the A-Z-HEALTH country spread).  </w:t>
            </w:r>
          </w:p>
          <w:p w14:paraId="0047FF1F" w14:textId="77777777" w:rsidR="000445C1" w:rsidRPr="000445C1" w:rsidRDefault="000445C1" w:rsidP="000445C1">
            <w:pPr>
              <w:rPr>
                <w:sz w:val="22"/>
                <w:szCs w:val="22"/>
                <w:lang w:val="en-GB"/>
              </w:rPr>
            </w:pPr>
            <w:r w:rsidRPr="000445C1">
              <w:rPr>
                <w:sz w:val="22"/>
                <w:szCs w:val="22"/>
                <w:lang w:val="en-GB"/>
              </w:rPr>
              <w:t>It will also generate a communication-oriented output stream, including open-access </w:t>
            </w:r>
            <w:r w:rsidRPr="000445C1">
              <w:rPr>
                <w:b/>
                <w:bCs/>
                <w:sz w:val="22"/>
                <w:szCs w:val="22"/>
                <w:lang w:val="en-GB"/>
              </w:rPr>
              <w:t>web-based foresight storylines and visual narratives</w:t>
            </w:r>
            <w:r w:rsidRPr="000445C1">
              <w:rPr>
                <w:sz w:val="22"/>
                <w:szCs w:val="22"/>
                <w:lang w:val="en-GB"/>
              </w:rPr>
              <w:t>, developed in coordination with WP9, to support dissemination, strengthen stakeholder engagement, and increase the long-term impact of foresight visions.  </w:t>
            </w:r>
          </w:p>
          <w:p w14:paraId="6512FDD5" w14:textId="77777777" w:rsidR="000445C1" w:rsidRPr="000445C1" w:rsidRDefault="000445C1" w:rsidP="000445C1">
            <w:pPr>
              <w:rPr>
                <w:sz w:val="22"/>
                <w:szCs w:val="22"/>
                <w:lang w:val="en-GB"/>
              </w:rPr>
            </w:pPr>
            <w:r w:rsidRPr="000445C1">
              <w:rPr>
                <w:sz w:val="22"/>
                <w:szCs w:val="22"/>
                <w:lang w:val="en-GB"/>
              </w:rPr>
              <w:t>The storylines will translate trends, uncertainties, scenarios, and policy insights into accessible and visually engaging narratives for policymakers, practitioners, educators, youth organisations and the wider public. Structured around two main sections, </w:t>
            </w:r>
            <w:r w:rsidRPr="000445C1">
              <w:rPr>
                <w:i/>
                <w:iCs/>
                <w:sz w:val="22"/>
                <w:szCs w:val="22"/>
                <w:lang w:val="en-GB"/>
              </w:rPr>
              <w:t>Challenges</w:t>
            </w:r>
            <w:r w:rsidRPr="000445C1">
              <w:rPr>
                <w:sz w:val="22"/>
                <w:szCs w:val="22"/>
                <w:lang w:val="en-GB"/>
              </w:rPr>
              <w:t> and </w:t>
            </w:r>
            <w:r w:rsidRPr="000445C1">
              <w:rPr>
                <w:i/>
                <w:iCs/>
                <w:sz w:val="22"/>
                <w:szCs w:val="22"/>
                <w:lang w:val="en-GB"/>
              </w:rPr>
              <w:t>Visions</w:t>
            </w:r>
            <w:r w:rsidRPr="000445C1">
              <w:rPr>
                <w:sz w:val="22"/>
                <w:szCs w:val="22"/>
                <w:lang w:val="en-GB"/>
              </w:rPr>
              <w:t>, the platform will combine concise texts, infographics, and interactive elements to illustrate how youth health behaviours and intervention conditions may evolve towards 2040. Youth participants will contribute to the co-creation and validation of the storylines, ensuring relevance, credibility, and communication value.  </w:t>
            </w:r>
          </w:p>
        </w:tc>
      </w:tr>
    </w:tbl>
    <w:p w14:paraId="1D211A90" w14:textId="77777777" w:rsidR="00FC3C49" w:rsidRDefault="00FC3C49">
      <w:pPr>
        <w:rPr>
          <w:lang w:val="en-GB"/>
        </w:rPr>
      </w:pPr>
    </w:p>
    <w:p w14:paraId="53A75D1D" w14:textId="726CA6EA" w:rsidR="002B24AF" w:rsidRDefault="002B24AF" w:rsidP="002B24AF">
      <w:pPr>
        <w:jc w:val="both"/>
        <w:rPr>
          <w:lang w:val="en-GB"/>
        </w:rPr>
      </w:pPr>
      <w:r w:rsidRPr="002B24AF">
        <w:rPr>
          <w:lang w:val="en-GB"/>
        </w:rPr>
        <w:t>D8.</w:t>
      </w:r>
      <w:r>
        <w:rPr>
          <w:lang w:val="en-GB"/>
        </w:rPr>
        <w:t>1</w:t>
      </w:r>
      <w:r w:rsidRPr="002B24AF">
        <w:rPr>
          <w:lang w:val="en-GB"/>
        </w:rPr>
        <w:t xml:space="preserve"> – Horizon scanning and participatory sense-making report </w:t>
      </w:r>
      <w:r w:rsidR="007E1015">
        <w:rPr>
          <w:lang w:val="en-GB"/>
        </w:rPr>
        <w:t>(M24)</w:t>
      </w:r>
    </w:p>
    <w:p w14:paraId="456FBD16" w14:textId="1987A25F" w:rsidR="00DE47D6" w:rsidRPr="002B24AF" w:rsidRDefault="00DE47D6" w:rsidP="002B24AF">
      <w:pPr>
        <w:jc w:val="both"/>
        <w:rPr>
          <w:lang w:val="en-GB"/>
        </w:rPr>
      </w:pPr>
      <w:r w:rsidRPr="002B24AF">
        <w:rPr>
          <w:lang w:val="en-GB"/>
        </w:rPr>
        <w:t>D8.</w:t>
      </w:r>
      <w:r>
        <w:rPr>
          <w:lang w:val="en-GB"/>
        </w:rPr>
        <w:t>2</w:t>
      </w:r>
      <w:r w:rsidRPr="002B24AF">
        <w:rPr>
          <w:lang w:val="en-GB"/>
        </w:rPr>
        <w:t xml:space="preserve"> – Foresight scenarios report on future drivers of youth health behaviours</w:t>
      </w:r>
      <w:r>
        <w:rPr>
          <w:lang w:val="en-GB"/>
        </w:rPr>
        <w:t xml:space="preserve"> (M40)</w:t>
      </w:r>
    </w:p>
    <w:p w14:paraId="56AC0916" w14:textId="02BE1BDC" w:rsidR="002B24AF" w:rsidRPr="002B24AF" w:rsidRDefault="002B24AF" w:rsidP="002B24AF">
      <w:pPr>
        <w:jc w:val="both"/>
        <w:rPr>
          <w:lang w:val="en-GB"/>
        </w:rPr>
      </w:pPr>
      <w:r w:rsidRPr="002B24AF">
        <w:rPr>
          <w:lang w:val="en-GB"/>
        </w:rPr>
        <w:t>D8.</w:t>
      </w:r>
      <w:r w:rsidR="00DE47D6">
        <w:rPr>
          <w:lang w:val="en-GB"/>
        </w:rPr>
        <w:t>3</w:t>
      </w:r>
      <w:r w:rsidRPr="002B24AF">
        <w:rPr>
          <w:lang w:val="en-GB"/>
        </w:rPr>
        <w:t xml:space="preserve"> - Policy simulation framework and modelling report</w:t>
      </w:r>
      <w:r w:rsidR="007E1015">
        <w:rPr>
          <w:lang w:val="en-GB"/>
        </w:rPr>
        <w:t xml:space="preserve"> (M</w:t>
      </w:r>
      <w:r w:rsidR="00054501">
        <w:rPr>
          <w:lang w:val="en-GB"/>
        </w:rPr>
        <w:t>40</w:t>
      </w:r>
      <w:r w:rsidR="007E1015">
        <w:rPr>
          <w:lang w:val="en-GB"/>
        </w:rPr>
        <w:t>)</w:t>
      </w:r>
    </w:p>
    <w:p w14:paraId="1C687D3E" w14:textId="08AB45B7" w:rsidR="002B24AF" w:rsidRPr="002B24AF" w:rsidRDefault="002B24AF" w:rsidP="002B24AF">
      <w:pPr>
        <w:jc w:val="both"/>
        <w:rPr>
          <w:lang w:val="en-GB"/>
        </w:rPr>
      </w:pPr>
      <w:r w:rsidRPr="002B24AF">
        <w:rPr>
          <w:lang w:val="en-GB"/>
        </w:rPr>
        <w:t>D8.</w:t>
      </w:r>
      <w:r>
        <w:rPr>
          <w:lang w:val="en-GB"/>
        </w:rPr>
        <w:t>4</w:t>
      </w:r>
      <w:r w:rsidRPr="002B24AF">
        <w:rPr>
          <w:lang w:val="en-GB"/>
        </w:rPr>
        <w:t xml:space="preserve"> – Policy pathways and recommendations report (integrating foresight and modelling)</w:t>
      </w:r>
      <w:r w:rsidR="00687A0B">
        <w:rPr>
          <w:lang w:val="en-GB"/>
        </w:rPr>
        <w:t xml:space="preserve"> (M48)</w:t>
      </w:r>
    </w:p>
    <w:p w14:paraId="6DDA1C99" w14:textId="77777777" w:rsidR="002B24AF" w:rsidRPr="002B24AF" w:rsidRDefault="002B24AF" w:rsidP="002B24AF">
      <w:pPr>
        <w:jc w:val="both"/>
        <w:rPr>
          <w:b/>
          <w:bCs/>
          <w:lang w:val="en-GB"/>
        </w:rPr>
      </w:pPr>
    </w:p>
    <w:p w14:paraId="638800E8" w14:textId="77777777" w:rsidR="002B24AF" w:rsidRPr="002B24AF" w:rsidRDefault="002B24AF" w:rsidP="002B24AF">
      <w:pPr>
        <w:jc w:val="both"/>
        <w:rPr>
          <w:b/>
          <w:bCs/>
          <w:lang w:val="en-GB"/>
        </w:rPr>
      </w:pPr>
      <w:r w:rsidRPr="002B24AF">
        <w:rPr>
          <w:b/>
          <w:bCs/>
          <w:lang w:val="en-GB"/>
        </w:rPr>
        <w:t>Milestones</w:t>
      </w:r>
    </w:p>
    <w:p w14:paraId="7397B0B3" w14:textId="45292259" w:rsidR="002B24AF" w:rsidRDefault="002B24AF" w:rsidP="002B24AF">
      <w:pPr>
        <w:jc w:val="both"/>
        <w:rPr>
          <w:lang w:val="en-GB"/>
        </w:rPr>
      </w:pPr>
      <w:r w:rsidRPr="002B24AF">
        <w:rPr>
          <w:lang w:val="en-GB"/>
        </w:rPr>
        <w:t>MS8.X –</w:t>
      </w:r>
      <w:r w:rsidR="00740C3C">
        <w:rPr>
          <w:lang w:val="en-GB"/>
        </w:rPr>
        <w:t xml:space="preserve"> h</w:t>
      </w:r>
      <w:r w:rsidRPr="002B24AF">
        <w:rPr>
          <w:lang w:val="en-GB"/>
        </w:rPr>
        <w:t xml:space="preserve">orizon scanning </w:t>
      </w:r>
      <w:r w:rsidR="00740C3C">
        <w:rPr>
          <w:lang w:val="en-GB"/>
        </w:rPr>
        <w:t xml:space="preserve">workshops </w:t>
      </w:r>
      <w:r w:rsidRPr="002B24AF">
        <w:rPr>
          <w:lang w:val="en-GB"/>
        </w:rPr>
        <w:t xml:space="preserve">and validation of key trends/uncertainties </w:t>
      </w:r>
      <w:r w:rsidR="00B02C54">
        <w:rPr>
          <w:lang w:val="en-GB"/>
        </w:rPr>
        <w:t>-M2</w:t>
      </w:r>
      <w:r w:rsidR="009C5B2B">
        <w:rPr>
          <w:lang w:val="en-GB"/>
        </w:rPr>
        <w:t>0</w:t>
      </w:r>
    </w:p>
    <w:p w14:paraId="41FFCA19" w14:textId="181DFCE2" w:rsidR="009C5B2B" w:rsidRPr="002B24AF" w:rsidRDefault="009C5B2B" w:rsidP="009C5B2B">
      <w:pPr>
        <w:jc w:val="both"/>
        <w:rPr>
          <w:lang w:val="en-GB"/>
        </w:rPr>
      </w:pPr>
      <w:proofErr w:type="gramStart"/>
      <w:r>
        <w:rPr>
          <w:lang w:val="en-GB"/>
        </w:rPr>
        <w:t xml:space="preserve">MS </w:t>
      </w:r>
      <w:r w:rsidRPr="002B24AF">
        <w:rPr>
          <w:lang w:val="en-GB"/>
        </w:rPr>
        <w:t xml:space="preserve"> -</w:t>
      </w:r>
      <w:proofErr w:type="gramEnd"/>
      <w:r w:rsidRPr="002B24AF">
        <w:rPr>
          <w:lang w:val="en-GB"/>
        </w:rPr>
        <w:t xml:space="preserve"> Web-based foresight storylines</w:t>
      </w:r>
      <w:r>
        <w:rPr>
          <w:lang w:val="en-GB"/>
        </w:rPr>
        <w:t xml:space="preserve"> </w:t>
      </w:r>
      <w:r>
        <w:rPr>
          <w:lang w:val="en-GB"/>
        </w:rPr>
        <w:t xml:space="preserve">on lines </w:t>
      </w:r>
      <w:r>
        <w:rPr>
          <w:lang w:val="en-GB"/>
        </w:rPr>
        <w:t>(M48)</w:t>
      </w:r>
    </w:p>
    <w:p w14:paraId="3D8FE094" w14:textId="77777777" w:rsidR="002B24AF" w:rsidRPr="000445C1" w:rsidRDefault="002B24AF">
      <w:pPr>
        <w:rPr>
          <w:lang w:val="en-GB"/>
        </w:rPr>
      </w:pPr>
    </w:p>
    <w:sectPr w:rsidR="002B24AF" w:rsidRPr="000445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3A2"/>
    <w:multiLevelType w:val="multilevel"/>
    <w:tmpl w:val="272C1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20B62"/>
    <w:multiLevelType w:val="hybridMultilevel"/>
    <w:tmpl w:val="D2E2CB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E3112D3"/>
    <w:multiLevelType w:val="multilevel"/>
    <w:tmpl w:val="CE3A0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F5D5F"/>
    <w:multiLevelType w:val="multilevel"/>
    <w:tmpl w:val="83DE6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E4A5F"/>
    <w:multiLevelType w:val="hybridMultilevel"/>
    <w:tmpl w:val="A0D0F5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39B4773"/>
    <w:multiLevelType w:val="multilevel"/>
    <w:tmpl w:val="767A8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929887">
    <w:abstractNumId w:val="3"/>
  </w:num>
  <w:num w:numId="2" w16cid:durableId="83571388">
    <w:abstractNumId w:val="2"/>
  </w:num>
  <w:num w:numId="3" w16cid:durableId="1768770614">
    <w:abstractNumId w:val="0"/>
  </w:num>
  <w:num w:numId="4" w16cid:durableId="74206097">
    <w:abstractNumId w:val="5"/>
  </w:num>
  <w:num w:numId="5" w16cid:durableId="1605191117">
    <w:abstractNumId w:val="1"/>
  </w:num>
  <w:num w:numId="6" w16cid:durableId="1786120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49"/>
    <w:rsid w:val="0000739A"/>
    <w:rsid w:val="000445C1"/>
    <w:rsid w:val="00054501"/>
    <w:rsid w:val="000F08F1"/>
    <w:rsid w:val="000F4322"/>
    <w:rsid w:val="00123C4B"/>
    <w:rsid w:val="0013540C"/>
    <w:rsid w:val="001B738E"/>
    <w:rsid w:val="002122D5"/>
    <w:rsid w:val="002B24AF"/>
    <w:rsid w:val="003B3BF6"/>
    <w:rsid w:val="003D2EEF"/>
    <w:rsid w:val="00503949"/>
    <w:rsid w:val="00617665"/>
    <w:rsid w:val="00643BA6"/>
    <w:rsid w:val="00687A0B"/>
    <w:rsid w:val="00727D0A"/>
    <w:rsid w:val="00731519"/>
    <w:rsid w:val="00740C3C"/>
    <w:rsid w:val="007B304B"/>
    <w:rsid w:val="007E1015"/>
    <w:rsid w:val="007E4966"/>
    <w:rsid w:val="009A314D"/>
    <w:rsid w:val="009C5B2B"/>
    <w:rsid w:val="00A673A3"/>
    <w:rsid w:val="00B02C54"/>
    <w:rsid w:val="00DE47D6"/>
    <w:rsid w:val="00E25FFB"/>
    <w:rsid w:val="00E55C36"/>
    <w:rsid w:val="00ED0FC7"/>
    <w:rsid w:val="00FC3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4D3D"/>
  <w15:chartTrackingRefBased/>
  <w15:docId w15:val="{EAC26C93-18DF-4ED7-9BDC-203C150A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3C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3C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3C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3C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3C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3C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3C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3C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3C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3C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3C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3C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3C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3C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3C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3C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3C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3C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3C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3C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3C49"/>
    <w:rPr>
      <w:i/>
      <w:iCs/>
      <w:color w:val="404040" w:themeColor="text1" w:themeTint="BF"/>
    </w:rPr>
  </w:style>
  <w:style w:type="paragraph" w:styleId="Paragrafoelenco">
    <w:name w:val="List Paragraph"/>
    <w:basedOn w:val="Normale"/>
    <w:uiPriority w:val="34"/>
    <w:qFormat/>
    <w:rsid w:val="00FC3C49"/>
    <w:pPr>
      <w:ind w:left="720"/>
      <w:contextualSpacing/>
    </w:pPr>
  </w:style>
  <w:style w:type="character" w:styleId="Enfasiintensa">
    <w:name w:val="Intense Emphasis"/>
    <w:basedOn w:val="Carpredefinitoparagrafo"/>
    <w:uiPriority w:val="21"/>
    <w:qFormat/>
    <w:rsid w:val="00FC3C49"/>
    <w:rPr>
      <w:i/>
      <w:iCs/>
      <w:color w:val="0F4761" w:themeColor="accent1" w:themeShade="BF"/>
    </w:rPr>
  </w:style>
  <w:style w:type="paragraph" w:styleId="Citazioneintensa">
    <w:name w:val="Intense Quote"/>
    <w:basedOn w:val="Normale"/>
    <w:next w:val="Normale"/>
    <w:link w:val="CitazioneintensaCarattere"/>
    <w:uiPriority w:val="30"/>
    <w:qFormat/>
    <w:rsid w:val="00FC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3C49"/>
    <w:rPr>
      <w:i/>
      <w:iCs/>
      <w:color w:val="0F4761" w:themeColor="accent1" w:themeShade="BF"/>
    </w:rPr>
  </w:style>
  <w:style w:type="character" w:styleId="Riferimentointenso">
    <w:name w:val="Intense Reference"/>
    <w:basedOn w:val="Carpredefinitoparagrafo"/>
    <w:uiPriority w:val="32"/>
    <w:qFormat/>
    <w:rsid w:val="00FC3C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Giuffrè</dc:creator>
  <cp:keywords/>
  <dc:description/>
  <cp:lastModifiedBy>Giovanna Giuffrè</cp:lastModifiedBy>
  <cp:revision>2</cp:revision>
  <dcterms:created xsi:type="dcterms:W3CDTF">2026-04-13T16:45:00Z</dcterms:created>
  <dcterms:modified xsi:type="dcterms:W3CDTF">2026-04-13T16:45:00Z</dcterms:modified>
</cp:coreProperties>
</file>