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72E2" w14:textId="3EB01293" w:rsidR="00D93E95" w:rsidRPr="00422790" w:rsidRDefault="00D93E95" w:rsidP="004405A7">
      <w:pPr>
        <w:spacing w:after="120"/>
        <w:jc w:val="center"/>
        <w:rPr>
          <w:b/>
          <w:sz w:val="40"/>
          <w:szCs w:val="40"/>
        </w:rPr>
      </w:pPr>
      <w:r w:rsidRPr="00422790">
        <w:rPr>
          <w:b/>
          <w:sz w:val="40"/>
          <w:szCs w:val="40"/>
        </w:rPr>
        <w:t>Part B: technical description</w:t>
      </w:r>
    </w:p>
    <w:p w14:paraId="3A7923E4" w14:textId="3A226BF6" w:rsidR="00D93E95" w:rsidRPr="00422790" w:rsidRDefault="007902F6" w:rsidP="004405A7">
      <w:pPr>
        <w:pBdr>
          <w:top w:val="single" w:sz="4" w:space="1" w:color="auto"/>
          <w:left w:val="single" w:sz="4" w:space="4" w:color="auto"/>
          <w:bottom w:val="single" w:sz="4" w:space="1" w:color="auto"/>
          <w:right w:val="single" w:sz="4" w:space="4" w:color="auto"/>
        </w:pBdr>
        <w:spacing w:after="200"/>
        <w:jc w:val="center"/>
        <w:rPr>
          <w:b/>
          <w:smallCaps/>
          <w:sz w:val="28"/>
          <w:szCs w:val="28"/>
        </w:rPr>
      </w:pPr>
      <w:r w:rsidRPr="00422790">
        <w:rPr>
          <w:b/>
          <w:smallCaps/>
          <w:sz w:val="28"/>
          <w:szCs w:val="28"/>
        </w:rPr>
        <w:t xml:space="preserve">Z-HEALTH </w:t>
      </w:r>
      <w:r w:rsidR="00B7370C">
        <w:rPr>
          <w:b/>
          <w:smallCaps/>
          <w:sz w:val="28"/>
          <w:szCs w:val="28"/>
        </w:rPr>
        <w:t>–</w:t>
      </w:r>
      <w:r w:rsidRPr="00422790">
        <w:rPr>
          <w:b/>
          <w:smallCaps/>
          <w:sz w:val="28"/>
          <w:szCs w:val="28"/>
        </w:rPr>
        <w:t xml:space="preserve"> </w:t>
      </w:r>
      <w:r w:rsidR="00B7370C">
        <w:rPr>
          <w:b/>
          <w:smallCaps/>
          <w:sz w:val="28"/>
          <w:szCs w:val="28"/>
        </w:rPr>
        <w:t xml:space="preserve">Health in the </w:t>
      </w:r>
      <w:r w:rsidR="0060190C">
        <w:rPr>
          <w:b/>
          <w:smallCaps/>
          <w:sz w:val="28"/>
          <w:szCs w:val="28"/>
        </w:rPr>
        <w:t>Digital Generation</w:t>
      </w:r>
    </w:p>
    <w:p w14:paraId="1EC2D6FE" w14:textId="709CD767" w:rsidR="00DA55DD" w:rsidRPr="00422790" w:rsidRDefault="00D93E95" w:rsidP="004405A7">
      <w:pPr>
        <w:rPr>
          <w:b/>
        </w:rPr>
      </w:pPr>
      <w:r w:rsidRPr="00422790">
        <w:rPr>
          <w:b/>
        </w:rPr>
        <w:t>List of participants</w:t>
      </w: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572"/>
        <w:gridCol w:w="1523"/>
        <w:gridCol w:w="1291"/>
      </w:tblGrid>
      <w:tr w:rsidR="00DA55DD" w:rsidRPr="00422790" w14:paraId="53C86A89" w14:textId="77777777" w:rsidTr="15E5303E">
        <w:trPr>
          <w:trHeight w:val="266"/>
          <w:jc w:val="center"/>
        </w:trPr>
        <w:tc>
          <w:tcPr>
            <w:tcW w:w="2220" w:type="dxa"/>
          </w:tcPr>
          <w:p w14:paraId="33BE8828" w14:textId="77777777" w:rsidR="00DA55DD" w:rsidRPr="00422790" w:rsidRDefault="00DA55DD" w:rsidP="004405A7">
            <w:pPr>
              <w:jc w:val="both"/>
              <w:outlineLvl w:val="4"/>
              <w:rPr>
                <w:b/>
              </w:rPr>
            </w:pPr>
            <w:r w:rsidRPr="00422790">
              <w:rPr>
                <w:b/>
              </w:rPr>
              <w:t>Participant No. *</w:t>
            </w:r>
          </w:p>
        </w:tc>
        <w:tc>
          <w:tcPr>
            <w:tcW w:w="5572" w:type="dxa"/>
          </w:tcPr>
          <w:p w14:paraId="2F7A395E" w14:textId="77777777" w:rsidR="00DA55DD" w:rsidRPr="00422790" w:rsidRDefault="00DA55DD" w:rsidP="004405A7">
            <w:pPr>
              <w:jc w:val="both"/>
              <w:outlineLvl w:val="4"/>
              <w:rPr>
                <w:b/>
              </w:rPr>
            </w:pPr>
            <w:r w:rsidRPr="00422790">
              <w:rPr>
                <w:b/>
              </w:rPr>
              <w:t>Participant organisation name</w:t>
            </w:r>
          </w:p>
        </w:tc>
        <w:tc>
          <w:tcPr>
            <w:tcW w:w="1523" w:type="dxa"/>
          </w:tcPr>
          <w:p w14:paraId="7EF78A46" w14:textId="77777777" w:rsidR="00DA55DD" w:rsidRPr="00422790" w:rsidRDefault="00DA55DD" w:rsidP="004405A7">
            <w:pPr>
              <w:jc w:val="both"/>
              <w:outlineLvl w:val="4"/>
              <w:rPr>
                <w:b/>
              </w:rPr>
            </w:pPr>
            <w:r w:rsidRPr="00422790">
              <w:rPr>
                <w:b/>
              </w:rPr>
              <w:t>Short name</w:t>
            </w:r>
          </w:p>
        </w:tc>
        <w:tc>
          <w:tcPr>
            <w:tcW w:w="1291" w:type="dxa"/>
          </w:tcPr>
          <w:p w14:paraId="79808DAF" w14:textId="77777777" w:rsidR="00DA55DD" w:rsidRPr="00422790" w:rsidRDefault="00DA55DD" w:rsidP="004405A7">
            <w:pPr>
              <w:jc w:val="both"/>
              <w:outlineLvl w:val="4"/>
              <w:rPr>
                <w:b/>
              </w:rPr>
            </w:pPr>
            <w:r w:rsidRPr="00422790">
              <w:rPr>
                <w:b/>
              </w:rPr>
              <w:t>Country</w:t>
            </w:r>
          </w:p>
        </w:tc>
      </w:tr>
      <w:tr w:rsidR="00DA55DD" w:rsidRPr="00422790" w14:paraId="172A72E6" w14:textId="77777777" w:rsidTr="15E5303E">
        <w:trPr>
          <w:trHeight w:val="69"/>
          <w:jc w:val="center"/>
        </w:trPr>
        <w:tc>
          <w:tcPr>
            <w:tcW w:w="2220" w:type="dxa"/>
          </w:tcPr>
          <w:p w14:paraId="4AABDC44" w14:textId="77777777" w:rsidR="00DA55DD" w:rsidRPr="00422790" w:rsidRDefault="00DA55DD" w:rsidP="004405A7">
            <w:pPr>
              <w:jc w:val="both"/>
              <w:outlineLvl w:val="4"/>
            </w:pPr>
            <w:r w:rsidRPr="00422790">
              <w:t>1 (Coordinator)</w:t>
            </w:r>
          </w:p>
        </w:tc>
        <w:tc>
          <w:tcPr>
            <w:tcW w:w="5572" w:type="dxa"/>
          </w:tcPr>
          <w:p w14:paraId="3E2DF605" w14:textId="06552A99" w:rsidR="00DA55DD" w:rsidRPr="00422790" w:rsidRDefault="00D568DD" w:rsidP="004405A7">
            <w:r w:rsidRPr="00422790">
              <w:t>Imperial College of Science Technology &amp; Medicine</w:t>
            </w:r>
          </w:p>
        </w:tc>
        <w:tc>
          <w:tcPr>
            <w:tcW w:w="1523" w:type="dxa"/>
          </w:tcPr>
          <w:p w14:paraId="0443E514" w14:textId="32A7FAC3" w:rsidR="00DA55DD" w:rsidRPr="00422790" w:rsidRDefault="00D568DD" w:rsidP="004405A7">
            <w:r w:rsidRPr="00422790">
              <w:t>ICL</w:t>
            </w:r>
          </w:p>
        </w:tc>
        <w:tc>
          <w:tcPr>
            <w:tcW w:w="1291" w:type="dxa"/>
          </w:tcPr>
          <w:p w14:paraId="3BB7D9C7" w14:textId="1B0A8FB1" w:rsidR="00DA55DD" w:rsidRPr="00422790" w:rsidRDefault="00F62464" w:rsidP="004405A7">
            <w:r w:rsidRPr="00422790">
              <w:t>UK</w:t>
            </w:r>
          </w:p>
        </w:tc>
      </w:tr>
      <w:tr w:rsidR="00DA55DD" w:rsidRPr="00422790" w14:paraId="31C0D142" w14:textId="77777777" w:rsidTr="15E5303E">
        <w:trPr>
          <w:trHeight w:val="266"/>
          <w:jc w:val="center"/>
        </w:trPr>
        <w:tc>
          <w:tcPr>
            <w:tcW w:w="2220" w:type="dxa"/>
          </w:tcPr>
          <w:p w14:paraId="52869F98" w14:textId="77777777" w:rsidR="00DA55DD" w:rsidRPr="00422790" w:rsidRDefault="00DA55DD" w:rsidP="004405A7">
            <w:pPr>
              <w:ind w:left="1191" w:hanging="1191"/>
              <w:jc w:val="both"/>
              <w:outlineLvl w:val="4"/>
              <w:rPr>
                <w:b/>
              </w:rPr>
            </w:pPr>
            <w:r w:rsidRPr="00422790">
              <w:t>2</w:t>
            </w:r>
          </w:p>
        </w:tc>
        <w:tc>
          <w:tcPr>
            <w:tcW w:w="5572" w:type="dxa"/>
          </w:tcPr>
          <w:p w14:paraId="11A57359" w14:textId="105CCD65" w:rsidR="00DA55DD" w:rsidRPr="00422790" w:rsidRDefault="00D568DD" w:rsidP="004405A7">
            <w:r w:rsidRPr="00422790">
              <w:t>ISINNOVA</w:t>
            </w:r>
          </w:p>
        </w:tc>
        <w:tc>
          <w:tcPr>
            <w:tcW w:w="1523" w:type="dxa"/>
          </w:tcPr>
          <w:p w14:paraId="1346CABE" w14:textId="678E4E7F" w:rsidR="00DA55DD" w:rsidRPr="00422790" w:rsidRDefault="00D568DD" w:rsidP="004405A7">
            <w:r w:rsidRPr="00422790">
              <w:t>ISS</w:t>
            </w:r>
          </w:p>
        </w:tc>
        <w:tc>
          <w:tcPr>
            <w:tcW w:w="1291" w:type="dxa"/>
          </w:tcPr>
          <w:p w14:paraId="1DDC9159" w14:textId="74290FC9" w:rsidR="00DA55DD" w:rsidRPr="00422790" w:rsidRDefault="00272903" w:rsidP="004405A7">
            <w:r w:rsidRPr="00422790">
              <w:t>IT</w:t>
            </w:r>
          </w:p>
        </w:tc>
      </w:tr>
      <w:tr w:rsidR="002F4939" w:rsidRPr="00422790" w14:paraId="17B9789E" w14:textId="77777777" w:rsidTr="15E5303E">
        <w:trPr>
          <w:trHeight w:val="281"/>
          <w:jc w:val="center"/>
        </w:trPr>
        <w:tc>
          <w:tcPr>
            <w:tcW w:w="2220" w:type="dxa"/>
          </w:tcPr>
          <w:p w14:paraId="4D28A738" w14:textId="77777777" w:rsidR="002F4939" w:rsidRPr="00422790" w:rsidRDefault="002F4939" w:rsidP="002F4939">
            <w:pPr>
              <w:ind w:left="1191" w:hanging="1191"/>
              <w:jc w:val="both"/>
              <w:outlineLvl w:val="4"/>
              <w:rPr>
                <w:b/>
              </w:rPr>
            </w:pPr>
            <w:r w:rsidRPr="00422790">
              <w:t>3</w:t>
            </w:r>
          </w:p>
        </w:tc>
        <w:tc>
          <w:tcPr>
            <w:tcW w:w="5572" w:type="dxa"/>
          </w:tcPr>
          <w:p w14:paraId="2BA3EBCF" w14:textId="02AF0762" w:rsidR="002F4939" w:rsidRPr="00422790" w:rsidRDefault="002F4939" w:rsidP="002F4939">
            <w:r w:rsidRPr="00422790">
              <w:rPr>
                <w:color w:val="000000"/>
              </w:rPr>
              <w:t>Norwegian Institute of Public Health</w:t>
            </w:r>
          </w:p>
        </w:tc>
        <w:tc>
          <w:tcPr>
            <w:tcW w:w="1523" w:type="dxa"/>
          </w:tcPr>
          <w:p w14:paraId="4A9A1D38" w14:textId="2092AD82" w:rsidR="002F4939" w:rsidRPr="00422790" w:rsidRDefault="002F4939" w:rsidP="002F4939">
            <w:r w:rsidRPr="00422790">
              <w:t>NIPH</w:t>
            </w:r>
          </w:p>
        </w:tc>
        <w:tc>
          <w:tcPr>
            <w:tcW w:w="1291" w:type="dxa"/>
          </w:tcPr>
          <w:p w14:paraId="155FCFF4" w14:textId="10003CCC" w:rsidR="002F4939" w:rsidRPr="00422790" w:rsidRDefault="001A4641" w:rsidP="002F4939">
            <w:r w:rsidRPr="00422790">
              <w:t>NO</w:t>
            </w:r>
          </w:p>
        </w:tc>
      </w:tr>
      <w:tr w:rsidR="002F4939" w:rsidRPr="00422790" w14:paraId="43EA7DE8" w14:textId="77777777" w:rsidTr="15E5303E">
        <w:trPr>
          <w:trHeight w:val="281"/>
          <w:jc w:val="center"/>
        </w:trPr>
        <w:tc>
          <w:tcPr>
            <w:tcW w:w="2220" w:type="dxa"/>
          </w:tcPr>
          <w:p w14:paraId="415508FC" w14:textId="3D127B6D" w:rsidR="002F4939" w:rsidRPr="00422790" w:rsidRDefault="005F2133" w:rsidP="002F4939">
            <w:pPr>
              <w:ind w:left="1191" w:hanging="1191"/>
              <w:jc w:val="both"/>
              <w:outlineLvl w:val="4"/>
            </w:pPr>
            <w:r w:rsidRPr="00422790">
              <w:t>4</w:t>
            </w:r>
          </w:p>
        </w:tc>
        <w:tc>
          <w:tcPr>
            <w:tcW w:w="5572" w:type="dxa"/>
          </w:tcPr>
          <w:p w14:paraId="76467F3D" w14:textId="0FBAF2E0" w:rsidR="002F4939" w:rsidRPr="00422790" w:rsidRDefault="002F4939" w:rsidP="002F4939">
            <w:r w:rsidRPr="00422790">
              <w:rPr>
                <w:color w:val="000000"/>
              </w:rPr>
              <w:t>Slovenian National Institute of Public Health</w:t>
            </w:r>
          </w:p>
        </w:tc>
        <w:tc>
          <w:tcPr>
            <w:tcW w:w="1523" w:type="dxa"/>
          </w:tcPr>
          <w:p w14:paraId="098C433F" w14:textId="63BBE43C" w:rsidR="002F4939" w:rsidRPr="00422790" w:rsidRDefault="002F4939" w:rsidP="002F4939">
            <w:r w:rsidRPr="00422790">
              <w:t>NIJZ</w:t>
            </w:r>
          </w:p>
        </w:tc>
        <w:tc>
          <w:tcPr>
            <w:tcW w:w="1291" w:type="dxa"/>
          </w:tcPr>
          <w:p w14:paraId="64FC7391" w14:textId="70DF8946" w:rsidR="002F4939" w:rsidRPr="00422790" w:rsidRDefault="00272903" w:rsidP="002F4939">
            <w:r w:rsidRPr="00422790">
              <w:t>S</w:t>
            </w:r>
            <w:r w:rsidR="0010358C" w:rsidRPr="00422790">
              <w:t>I</w:t>
            </w:r>
          </w:p>
        </w:tc>
      </w:tr>
      <w:tr w:rsidR="002F4939" w:rsidRPr="00422790" w14:paraId="5F999443" w14:textId="77777777" w:rsidTr="15E5303E">
        <w:trPr>
          <w:trHeight w:val="281"/>
          <w:jc w:val="center"/>
        </w:trPr>
        <w:tc>
          <w:tcPr>
            <w:tcW w:w="2220" w:type="dxa"/>
          </w:tcPr>
          <w:p w14:paraId="15ED0D44" w14:textId="0915CA83" w:rsidR="002F4939" w:rsidRPr="00422790" w:rsidRDefault="005F2133" w:rsidP="002F4939">
            <w:pPr>
              <w:ind w:left="1191" w:hanging="1191"/>
              <w:jc w:val="both"/>
              <w:outlineLvl w:val="4"/>
            </w:pPr>
            <w:r w:rsidRPr="00422790">
              <w:t>5</w:t>
            </w:r>
          </w:p>
        </w:tc>
        <w:tc>
          <w:tcPr>
            <w:tcW w:w="5572" w:type="dxa"/>
          </w:tcPr>
          <w:p w14:paraId="4222B754" w14:textId="6C2BCAC4" w:rsidR="002F4939" w:rsidRPr="00422790" w:rsidRDefault="15E5303E" w:rsidP="002F4939">
            <w:proofErr w:type="spellStart"/>
            <w:r w:rsidRPr="15E5303E">
              <w:rPr>
                <w:color w:val="000000" w:themeColor="text1"/>
              </w:rPr>
              <w:t>EuroHealthNet</w:t>
            </w:r>
            <w:proofErr w:type="spellEnd"/>
            <w:r w:rsidRPr="15E5303E">
              <w:rPr>
                <w:color w:val="000000" w:themeColor="text1"/>
              </w:rPr>
              <w:t xml:space="preserve"> ASBL</w:t>
            </w:r>
          </w:p>
        </w:tc>
        <w:tc>
          <w:tcPr>
            <w:tcW w:w="1523" w:type="dxa"/>
          </w:tcPr>
          <w:p w14:paraId="48DFF23F" w14:textId="5DC7D4D7" w:rsidR="002F4939" w:rsidRPr="00422790" w:rsidRDefault="739BDE54" w:rsidP="002F4939">
            <w:r w:rsidRPr="739BDE54">
              <w:t>EHNet</w:t>
            </w:r>
          </w:p>
        </w:tc>
        <w:tc>
          <w:tcPr>
            <w:tcW w:w="1291" w:type="dxa"/>
          </w:tcPr>
          <w:p w14:paraId="525D47D5" w14:textId="4ABB56DD" w:rsidR="002F4939" w:rsidRPr="00422790" w:rsidRDefault="00272903" w:rsidP="002F4939">
            <w:r w:rsidRPr="00422790">
              <w:t>B</w:t>
            </w:r>
            <w:r w:rsidR="0010358C" w:rsidRPr="00422790">
              <w:t>E</w:t>
            </w:r>
          </w:p>
        </w:tc>
      </w:tr>
      <w:tr w:rsidR="002F4939" w:rsidRPr="00422790" w14:paraId="2811B5CC" w14:textId="77777777" w:rsidTr="15E5303E">
        <w:trPr>
          <w:trHeight w:val="281"/>
          <w:jc w:val="center"/>
        </w:trPr>
        <w:tc>
          <w:tcPr>
            <w:tcW w:w="2220" w:type="dxa"/>
          </w:tcPr>
          <w:p w14:paraId="21D9BF09" w14:textId="2406B9C4" w:rsidR="002F4939" w:rsidRPr="00422790" w:rsidRDefault="005F2133" w:rsidP="002F4939">
            <w:pPr>
              <w:jc w:val="both"/>
              <w:outlineLvl w:val="4"/>
            </w:pPr>
            <w:r w:rsidRPr="00422790">
              <w:t>6</w:t>
            </w:r>
          </w:p>
        </w:tc>
        <w:tc>
          <w:tcPr>
            <w:tcW w:w="5572" w:type="dxa"/>
          </w:tcPr>
          <w:p w14:paraId="398276F0" w14:textId="47E4CE95" w:rsidR="002F4939" w:rsidRPr="00422790" w:rsidRDefault="002F4939" w:rsidP="002F4939">
            <w:r w:rsidRPr="00422790">
              <w:rPr>
                <w:color w:val="000000"/>
              </w:rPr>
              <w:t>New York University</w:t>
            </w:r>
          </w:p>
        </w:tc>
        <w:tc>
          <w:tcPr>
            <w:tcW w:w="1523" w:type="dxa"/>
          </w:tcPr>
          <w:p w14:paraId="5D19B7A4" w14:textId="15A06C20" w:rsidR="002F4939" w:rsidRPr="00422790" w:rsidRDefault="002F4939" w:rsidP="002F4939">
            <w:r w:rsidRPr="00422790">
              <w:t>NYU</w:t>
            </w:r>
          </w:p>
        </w:tc>
        <w:tc>
          <w:tcPr>
            <w:tcW w:w="1291" w:type="dxa"/>
          </w:tcPr>
          <w:p w14:paraId="3EA70258" w14:textId="5CB24805" w:rsidR="002F4939" w:rsidRPr="00422790" w:rsidRDefault="001A4641" w:rsidP="002F4939">
            <w:r w:rsidRPr="00422790">
              <w:t>USA</w:t>
            </w:r>
          </w:p>
        </w:tc>
      </w:tr>
      <w:tr w:rsidR="008972C3" w:rsidRPr="00422790" w14:paraId="449C4002" w14:textId="77777777" w:rsidTr="15E5303E">
        <w:trPr>
          <w:trHeight w:val="281"/>
          <w:jc w:val="center"/>
        </w:trPr>
        <w:tc>
          <w:tcPr>
            <w:tcW w:w="2220" w:type="dxa"/>
          </w:tcPr>
          <w:p w14:paraId="4A78260E" w14:textId="571B26C4" w:rsidR="008972C3" w:rsidRPr="008972C3" w:rsidRDefault="008972C3" w:rsidP="008972C3">
            <w:pPr>
              <w:ind w:left="1191" w:hanging="1191"/>
              <w:jc w:val="both"/>
              <w:outlineLvl w:val="4"/>
            </w:pPr>
            <w:r w:rsidRPr="008972C3">
              <w:t>7</w:t>
            </w:r>
          </w:p>
        </w:tc>
        <w:tc>
          <w:tcPr>
            <w:tcW w:w="5572" w:type="dxa"/>
          </w:tcPr>
          <w:p w14:paraId="7E58C3D8" w14:textId="02CA8ECE" w:rsidR="008972C3" w:rsidRPr="00B70F37" w:rsidRDefault="008972C3" w:rsidP="008972C3">
            <w:pPr>
              <w:rPr>
                <w:strike/>
              </w:rPr>
            </w:pPr>
            <w:r w:rsidRPr="00422790">
              <w:rPr>
                <w:color w:val="000000"/>
              </w:rPr>
              <w:t>University of Cologne</w:t>
            </w:r>
          </w:p>
        </w:tc>
        <w:tc>
          <w:tcPr>
            <w:tcW w:w="1523" w:type="dxa"/>
          </w:tcPr>
          <w:p w14:paraId="2E5E30BA" w14:textId="2FD52D1C" w:rsidR="008972C3" w:rsidRPr="00B70F37" w:rsidRDefault="008972C3" w:rsidP="008972C3">
            <w:pPr>
              <w:rPr>
                <w:strike/>
              </w:rPr>
            </w:pPr>
            <w:proofErr w:type="spellStart"/>
            <w:r w:rsidRPr="00422790">
              <w:t>UoC</w:t>
            </w:r>
            <w:proofErr w:type="spellEnd"/>
          </w:p>
        </w:tc>
        <w:tc>
          <w:tcPr>
            <w:tcW w:w="1291" w:type="dxa"/>
          </w:tcPr>
          <w:p w14:paraId="6E8021C4" w14:textId="20304E76" w:rsidR="008972C3" w:rsidRPr="00B70F37" w:rsidRDefault="008972C3" w:rsidP="008972C3">
            <w:pPr>
              <w:rPr>
                <w:strike/>
              </w:rPr>
            </w:pPr>
            <w:r w:rsidRPr="00422790">
              <w:t>DE</w:t>
            </w:r>
          </w:p>
        </w:tc>
      </w:tr>
      <w:tr w:rsidR="008972C3" w:rsidRPr="00422790" w14:paraId="3D44D3BF" w14:textId="77777777" w:rsidTr="15E5303E">
        <w:trPr>
          <w:trHeight w:val="281"/>
          <w:jc w:val="center"/>
        </w:trPr>
        <w:tc>
          <w:tcPr>
            <w:tcW w:w="2220" w:type="dxa"/>
          </w:tcPr>
          <w:p w14:paraId="39506478" w14:textId="00D7BA4A" w:rsidR="008972C3" w:rsidRPr="00422790" w:rsidRDefault="008972C3" w:rsidP="008972C3">
            <w:pPr>
              <w:ind w:left="1191" w:hanging="1191"/>
              <w:jc w:val="both"/>
              <w:outlineLvl w:val="4"/>
            </w:pPr>
            <w:r w:rsidRPr="00422790">
              <w:t>8</w:t>
            </w:r>
          </w:p>
        </w:tc>
        <w:tc>
          <w:tcPr>
            <w:tcW w:w="5572" w:type="dxa"/>
          </w:tcPr>
          <w:p w14:paraId="5C2B1DF8" w14:textId="67689806" w:rsidR="008972C3" w:rsidRPr="00422790" w:rsidRDefault="00DD4FB5" w:rsidP="008972C3">
            <w:r w:rsidRPr="00DD4FB5">
              <w:rPr>
                <w:lang w:val="en-US"/>
              </w:rPr>
              <w:t>Amsterdam University Medical Center</w:t>
            </w:r>
          </w:p>
        </w:tc>
        <w:tc>
          <w:tcPr>
            <w:tcW w:w="1523" w:type="dxa"/>
          </w:tcPr>
          <w:p w14:paraId="7D298CC8" w14:textId="370CD0E0" w:rsidR="008972C3" w:rsidRPr="00422790" w:rsidRDefault="00DD4FB5" w:rsidP="008972C3">
            <w:r>
              <w:t>AUMC</w:t>
            </w:r>
          </w:p>
        </w:tc>
        <w:tc>
          <w:tcPr>
            <w:tcW w:w="1291" w:type="dxa"/>
          </w:tcPr>
          <w:p w14:paraId="3E0ABEC1" w14:textId="170E7E51" w:rsidR="008972C3" w:rsidRPr="00422790" w:rsidRDefault="007E2123" w:rsidP="008972C3">
            <w:r>
              <w:t>NL</w:t>
            </w:r>
          </w:p>
        </w:tc>
      </w:tr>
      <w:tr w:rsidR="008972C3" w:rsidRPr="00422790" w14:paraId="1937242B" w14:textId="77777777" w:rsidTr="15E5303E">
        <w:trPr>
          <w:trHeight w:val="281"/>
          <w:jc w:val="center"/>
        </w:trPr>
        <w:tc>
          <w:tcPr>
            <w:tcW w:w="2220" w:type="dxa"/>
          </w:tcPr>
          <w:p w14:paraId="147C13DE" w14:textId="77777777" w:rsidR="008972C3" w:rsidRPr="00422790" w:rsidRDefault="008972C3" w:rsidP="008972C3">
            <w:pPr>
              <w:ind w:left="1191" w:hanging="1191"/>
              <w:jc w:val="both"/>
              <w:outlineLvl w:val="4"/>
            </w:pPr>
          </w:p>
        </w:tc>
        <w:tc>
          <w:tcPr>
            <w:tcW w:w="5572" w:type="dxa"/>
          </w:tcPr>
          <w:p w14:paraId="7712D814" w14:textId="6E1B277B" w:rsidR="008972C3" w:rsidRPr="00422790" w:rsidRDefault="007811F7" w:rsidP="008972C3">
            <w:r>
              <w:t>Choice Foundation?</w:t>
            </w:r>
          </w:p>
        </w:tc>
        <w:tc>
          <w:tcPr>
            <w:tcW w:w="1523" w:type="dxa"/>
          </w:tcPr>
          <w:p w14:paraId="28F86C75" w14:textId="77777777" w:rsidR="008972C3" w:rsidRPr="00422790" w:rsidRDefault="008972C3" w:rsidP="008972C3"/>
        </w:tc>
        <w:tc>
          <w:tcPr>
            <w:tcW w:w="1291" w:type="dxa"/>
          </w:tcPr>
          <w:p w14:paraId="5D657B46" w14:textId="77777777" w:rsidR="008972C3" w:rsidRPr="00422790" w:rsidRDefault="008972C3" w:rsidP="008972C3"/>
        </w:tc>
      </w:tr>
      <w:tr w:rsidR="008972C3" w:rsidRPr="00422790" w14:paraId="3D2FB68E" w14:textId="77777777" w:rsidTr="15E5303E">
        <w:trPr>
          <w:trHeight w:val="281"/>
          <w:jc w:val="center"/>
        </w:trPr>
        <w:tc>
          <w:tcPr>
            <w:tcW w:w="2220" w:type="dxa"/>
          </w:tcPr>
          <w:p w14:paraId="73734322" w14:textId="77777777" w:rsidR="008972C3" w:rsidRPr="00422790" w:rsidRDefault="008972C3" w:rsidP="008972C3">
            <w:pPr>
              <w:jc w:val="both"/>
              <w:outlineLvl w:val="4"/>
            </w:pPr>
          </w:p>
        </w:tc>
        <w:tc>
          <w:tcPr>
            <w:tcW w:w="5572" w:type="dxa"/>
          </w:tcPr>
          <w:p w14:paraId="27E3746D" w14:textId="77777777" w:rsidR="008972C3" w:rsidRPr="00422790" w:rsidRDefault="008972C3" w:rsidP="008972C3"/>
        </w:tc>
        <w:tc>
          <w:tcPr>
            <w:tcW w:w="1523" w:type="dxa"/>
          </w:tcPr>
          <w:p w14:paraId="5BF643DA" w14:textId="77777777" w:rsidR="008972C3" w:rsidRPr="00422790" w:rsidRDefault="008972C3" w:rsidP="008972C3"/>
        </w:tc>
        <w:tc>
          <w:tcPr>
            <w:tcW w:w="1291" w:type="dxa"/>
          </w:tcPr>
          <w:p w14:paraId="1195DC43" w14:textId="77777777" w:rsidR="008972C3" w:rsidRPr="00422790" w:rsidRDefault="008972C3" w:rsidP="008972C3"/>
        </w:tc>
      </w:tr>
      <w:tr w:rsidR="008972C3" w:rsidRPr="00422790" w14:paraId="14281597" w14:textId="77777777" w:rsidTr="15E5303E">
        <w:trPr>
          <w:trHeight w:val="281"/>
          <w:jc w:val="center"/>
        </w:trPr>
        <w:tc>
          <w:tcPr>
            <w:tcW w:w="2220" w:type="dxa"/>
          </w:tcPr>
          <w:p w14:paraId="6A7B329C" w14:textId="77777777" w:rsidR="008972C3" w:rsidRPr="00422790" w:rsidRDefault="008972C3" w:rsidP="008972C3">
            <w:pPr>
              <w:ind w:left="1191" w:hanging="1191"/>
              <w:jc w:val="both"/>
              <w:outlineLvl w:val="4"/>
            </w:pPr>
          </w:p>
        </w:tc>
        <w:tc>
          <w:tcPr>
            <w:tcW w:w="5572" w:type="dxa"/>
          </w:tcPr>
          <w:p w14:paraId="13518063" w14:textId="77777777" w:rsidR="008972C3" w:rsidRPr="00422790" w:rsidRDefault="008972C3" w:rsidP="008972C3"/>
        </w:tc>
        <w:tc>
          <w:tcPr>
            <w:tcW w:w="1523" w:type="dxa"/>
          </w:tcPr>
          <w:p w14:paraId="38B71727" w14:textId="77777777" w:rsidR="008972C3" w:rsidRPr="00422790" w:rsidRDefault="008972C3" w:rsidP="008972C3"/>
        </w:tc>
        <w:tc>
          <w:tcPr>
            <w:tcW w:w="1291" w:type="dxa"/>
          </w:tcPr>
          <w:p w14:paraId="63000E0E" w14:textId="77777777" w:rsidR="008972C3" w:rsidRPr="00422790" w:rsidRDefault="008972C3" w:rsidP="008972C3"/>
        </w:tc>
      </w:tr>
      <w:tr w:rsidR="008972C3" w:rsidRPr="00422790" w14:paraId="76926F9A" w14:textId="77777777" w:rsidTr="15E5303E">
        <w:trPr>
          <w:trHeight w:val="281"/>
          <w:jc w:val="center"/>
        </w:trPr>
        <w:tc>
          <w:tcPr>
            <w:tcW w:w="2220" w:type="dxa"/>
          </w:tcPr>
          <w:p w14:paraId="60D107E9" w14:textId="77777777" w:rsidR="008972C3" w:rsidRPr="00422790" w:rsidRDefault="008972C3" w:rsidP="008972C3">
            <w:pPr>
              <w:ind w:left="1191" w:hanging="1191"/>
              <w:jc w:val="both"/>
              <w:outlineLvl w:val="4"/>
            </w:pPr>
          </w:p>
        </w:tc>
        <w:tc>
          <w:tcPr>
            <w:tcW w:w="5572" w:type="dxa"/>
          </w:tcPr>
          <w:p w14:paraId="4E296F7A" w14:textId="77777777" w:rsidR="008972C3" w:rsidRPr="00422790" w:rsidRDefault="008972C3" w:rsidP="008972C3"/>
        </w:tc>
        <w:tc>
          <w:tcPr>
            <w:tcW w:w="1523" w:type="dxa"/>
          </w:tcPr>
          <w:p w14:paraId="26A68280" w14:textId="77777777" w:rsidR="008972C3" w:rsidRPr="00422790" w:rsidRDefault="008972C3" w:rsidP="008972C3"/>
        </w:tc>
        <w:tc>
          <w:tcPr>
            <w:tcW w:w="1291" w:type="dxa"/>
          </w:tcPr>
          <w:p w14:paraId="5CE9208C" w14:textId="77777777" w:rsidR="008972C3" w:rsidRPr="00422790" w:rsidRDefault="008972C3" w:rsidP="008972C3"/>
        </w:tc>
      </w:tr>
      <w:tr w:rsidR="008972C3" w:rsidRPr="00422790" w14:paraId="286C16F9" w14:textId="77777777" w:rsidTr="15E5303E">
        <w:trPr>
          <w:trHeight w:val="281"/>
          <w:jc w:val="center"/>
        </w:trPr>
        <w:tc>
          <w:tcPr>
            <w:tcW w:w="2220" w:type="dxa"/>
          </w:tcPr>
          <w:p w14:paraId="6AD0517E" w14:textId="77777777" w:rsidR="008972C3" w:rsidRPr="00422790" w:rsidRDefault="008972C3" w:rsidP="008972C3">
            <w:pPr>
              <w:jc w:val="both"/>
              <w:outlineLvl w:val="4"/>
            </w:pPr>
          </w:p>
        </w:tc>
        <w:tc>
          <w:tcPr>
            <w:tcW w:w="5572" w:type="dxa"/>
          </w:tcPr>
          <w:p w14:paraId="54D333DA" w14:textId="77777777" w:rsidR="008972C3" w:rsidRPr="00422790" w:rsidRDefault="008972C3" w:rsidP="008972C3"/>
        </w:tc>
        <w:tc>
          <w:tcPr>
            <w:tcW w:w="1523" w:type="dxa"/>
          </w:tcPr>
          <w:p w14:paraId="45790D62" w14:textId="77777777" w:rsidR="008972C3" w:rsidRPr="00422790" w:rsidRDefault="008972C3" w:rsidP="008972C3"/>
        </w:tc>
        <w:tc>
          <w:tcPr>
            <w:tcW w:w="1291" w:type="dxa"/>
          </w:tcPr>
          <w:p w14:paraId="5003449D" w14:textId="77777777" w:rsidR="008972C3" w:rsidRPr="00422790" w:rsidRDefault="008972C3" w:rsidP="008972C3"/>
        </w:tc>
      </w:tr>
      <w:tr w:rsidR="008972C3" w:rsidRPr="00422790" w14:paraId="242F19C3" w14:textId="77777777" w:rsidTr="15E5303E">
        <w:trPr>
          <w:trHeight w:val="281"/>
          <w:jc w:val="center"/>
        </w:trPr>
        <w:tc>
          <w:tcPr>
            <w:tcW w:w="2220" w:type="dxa"/>
          </w:tcPr>
          <w:p w14:paraId="55BA236D" w14:textId="77777777" w:rsidR="008972C3" w:rsidRPr="00422790" w:rsidRDefault="008972C3" w:rsidP="008972C3">
            <w:pPr>
              <w:ind w:left="1191" w:hanging="1191"/>
              <w:jc w:val="both"/>
              <w:outlineLvl w:val="4"/>
            </w:pPr>
          </w:p>
        </w:tc>
        <w:tc>
          <w:tcPr>
            <w:tcW w:w="5572" w:type="dxa"/>
          </w:tcPr>
          <w:p w14:paraId="60EDE5B0" w14:textId="77777777" w:rsidR="008972C3" w:rsidRPr="00422790" w:rsidRDefault="008972C3" w:rsidP="008972C3"/>
        </w:tc>
        <w:tc>
          <w:tcPr>
            <w:tcW w:w="1523" w:type="dxa"/>
          </w:tcPr>
          <w:p w14:paraId="219169A8" w14:textId="77777777" w:rsidR="008972C3" w:rsidRPr="00422790" w:rsidRDefault="008972C3" w:rsidP="008972C3"/>
        </w:tc>
        <w:tc>
          <w:tcPr>
            <w:tcW w:w="1291" w:type="dxa"/>
          </w:tcPr>
          <w:p w14:paraId="628F07E7" w14:textId="77777777" w:rsidR="008972C3" w:rsidRPr="00422790" w:rsidRDefault="008972C3" w:rsidP="008972C3"/>
        </w:tc>
      </w:tr>
      <w:tr w:rsidR="008972C3" w:rsidRPr="00422790" w14:paraId="185EE6B0"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58A0CA92" w14:textId="77777777" w:rsidR="008972C3" w:rsidRPr="00422790" w:rsidRDefault="008972C3" w:rsidP="008972C3">
            <w:pPr>
              <w:ind w:left="1191" w:hanging="1191"/>
              <w:jc w:val="both"/>
              <w:outlineLvl w:val="4"/>
            </w:pPr>
          </w:p>
        </w:tc>
        <w:tc>
          <w:tcPr>
            <w:tcW w:w="5572" w:type="dxa"/>
            <w:tcBorders>
              <w:top w:val="single" w:sz="4" w:space="0" w:color="auto"/>
              <w:left w:val="single" w:sz="4" w:space="0" w:color="auto"/>
              <w:bottom w:val="single" w:sz="4" w:space="0" w:color="auto"/>
              <w:right w:val="single" w:sz="4" w:space="0" w:color="auto"/>
            </w:tcBorders>
          </w:tcPr>
          <w:p w14:paraId="2B882F9D" w14:textId="77777777" w:rsidR="008972C3" w:rsidRPr="00422790" w:rsidRDefault="008972C3" w:rsidP="008972C3"/>
        </w:tc>
        <w:tc>
          <w:tcPr>
            <w:tcW w:w="1523" w:type="dxa"/>
            <w:tcBorders>
              <w:top w:val="single" w:sz="4" w:space="0" w:color="auto"/>
              <w:left w:val="single" w:sz="4" w:space="0" w:color="auto"/>
              <w:bottom w:val="single" w:sz="4" w:space="0" w:color="auto"/>
              <w:right w:val="single" w:sz="4" w:space="0" w:color="auto"/>
            </w:tcBorders>
          </w:tcPr>
          <w:p w14:paraId="22975515" w14:textId="77777777" w:rsidR="008972C3" w:rsidRPr="00422790" w:rsidRDefault="008972C3" w:rsidP="008972C3"/>
        </w:tc>
        <w:tc>
          <w:tcPr>
            <w:tcW w:w="1291" w:type="dxa"/>
            <w:tcBorders>
              <w:top w:val="single" w:sz="4" w:space="0" w:color="auto"/>
              <w:left w:val="single" w:sz="4" w:space="0" w:color="auto"/>
              <w:bottom w:val="single" w:sz="4" w:space="0" w:color="auto"/>
              <w:right w:val="single" w:sz="4" w:space="0" w:color="auto"/>
            </w:tcBorders>
          </w:tcPr>
          <w:p w14:paraId="22A7BF34" w14:textId="77777777" w:rsidR="008972C3" w:rsidRPr="00422790" w:rsidRDefault="008972C3" w:rsidP="008972C3"/>
        </w:tc>
      </w:tr>
      <w:tr w:rsidR="008972C3" w:rsidRPr="00422790" w14:paraId="3AF42F63"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0BC4BBA4" w14:textId="77777777" w:rsidR="008972C3" w:rsidRPr="00422790" w:rsidRDefault="008972C3" w:rsidP="008972C3">
            <w:pPr>
              <w:ind w:left="1191" w:hanging="1191"/>
              <w:jc w:val="both"/>
              <w:outlineLvl w:val="4"/>
            </w:pPr>
          </w:p>
        </w:tc>
        <w:tc>
          <w:tcPr>
            <w:tcW w:w="5572" w:type="dxa"/>
            <w:tcBorders>
              <w:top w:val="single" w:sz="4" w:space="0" w:color="auto"/>
              <w:left w:val="single" w:sz="4" w:space="0" w:color="auto"/>
              <w:bottom w:val="single" w:sz="4" w:space="0" w:color="auto"/>
              <w:right w:val="single" w:sz="4" w:space="0" w:color="auto"/>
            </w:tcBorders>
          </w:tcPr>
          <w:p w14:paraId="155F43EB" w14:textId="77777777" w:rsidR="008972C3" w:rsidRPr="00422790" w:rsidRDefault="008972C3" w:rsidP="008972C3"/>
        </w:tc>
        <w:tc>
          <w:tcPr>
            <w:tcW w:w="1523" w:type="dxa"/>
            <w:tcBorders>
              <w:top w:val="single" w:sz="4" w:space="0" w:color="auto"/>
              <w:left w:val="single" w:sz="4" w:space="0" w:color="auto"/>
              <w:bottom w:val="single" w:sz="4" w:space="0" w:color="auto"/>
              <w:right w:val="single" w:sz="4" w:space="0" w:color="auto"/>
            </w:tcBorders>
          </w:tcPr>
          <w:p w14:paraId="02BD50D6" w14:textId="77777777" w:rsidR="008972C3" w:rsidRPr="00422790" w:rsidRDefault="008972C3" w:rsidP="008972C3"/>
        </w:tc>
        <w:tc>
          <w:tcPr>
            <w:tcW w:w="1291" w:type="dxa"/>
            <w:tcBorders>
              <w:top w:val="single" w:sz="4" w:space="0" w:color="auto"/>
              <w:left w:val="single" w:sz="4" w:space="0" w:color="auto"/>
              <w:bottom w:val="single" w:sz="4" w:space="0" w:color="auto"/>
              <w:right w:val="single" w:sz="4" w:space="0" w:color="auto"/>
            </w:tcBorders>
          </w:tcPr>
          <w:p w14:paraId="33D2D9A4" w14:textId="77777777" w:rsidR="008972C3" w:rsidRPr="00422790" w:rsidRDefault="008972C3" w:rsidP="008972C3"/>
        </w:tc>
      </w:tr>
      <w:tr w:rsidR="008972C3" w:rsidRPr="00422790" w14:paraId="3F69EA1C"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44CACC65" w14:textId="77777777" w:rsidR="008972C3" w:rsidRPr="00422790" w:rsidRDefault="008972C3" w:rsidP="008972C3">
            <w:pPr>
              <w:ind w:left="1191" w:hanging="1191"/>
              <w:jc w:val="both"/>
              <w:outlineLvl w:val="4"/>
            </w:pPr>
          </w:p>
        </w:tc>
        <w:tc>
          <w:tcPr>
            <w:tcW w:w="5572" w:type="dxa"/>
            <w:tcBorders>
              <w:top w:val="single" w:sz="4" w:space="0" w:color="auto"/>
              <w:left w:val="single" w:sz="4" w:space="0" w:color="auto"/>
              <w:bottom w:val="single" w:sz="4" w:space="0" w:color="auto"/>
              <w:right w:val="single" w:sz="4" w:space="0" w:color="auto"/>
            </w:tcBorders>
          </w:tcPr>
          <w:p w14:paraId="331019F5" w14:textId="77777777" w:rsidR="008972C3" w:rsidRPr="00422790" w:rsidRDefault="008972C3" w:rsidP="008972C3"/>
        </w:tc>
        <w:tc>
          <w:tcPr>
            <w:tcW w:w="1523" w:type="dxa"/>
            <w:tcBorders>
              <w:top w:val="single" w:sz="4" w:space="0" w:color="auto"/>
              <w:left w:val="single" w:sz="4" w:space="0" w:color="auto"/>
              <w:bottom w:val="single" w:sz="4" w:space="0" w:color="auto"/>
              <w:right w:val="single" w:sz="4" w:space="0" w:color="auto"/>
            </w:tcBorders>
          </w:tcPr>
          <w:p w14:paraId="0BC088A0" w14:textId="77777777" w:rsidR="008972C3" w:rsidRPr="00422790" w:rsidRDefault="008972C3" w:rsidP="008972C3"/>
        </w:tc>
        <w:tc>
          <w:tcPr>
            <w:tcW w:w="1291" w:type="dxa"/>
            <w:tcBorders>
              <w:top w:val="single" w:sz="4" w:space="0" w:color="auto"/>
              <w:left w:val="single" w:sz="4" w:space="0" w:color="auto"/>
              <w:bottom w:val="single" w:sz="4" w:space="0" w:color="auto"/>
              <w:right w:val="single" w:sz="4" w:space="0" w:color="auto"/>
            </w:tcBorders>
          </w:tcPr>
          <w:p w14:paraId="74461393" w14:textId="77777777" w:rsidR="008972C3" w:rsidRPr="00422790" w:rsidRDefault="008972C3" w:rsidP="008972C3"/>
        </w:tc>
      </w:tr>
    </w:tbl>
    <w:p w14:paraId="23B1610D" w14:textId="1AD2A9A5" w:rsidR="005C11F5" w:rsidRPr="00422790" w:rsidRDefault="005C11F5" w:rsidP="004405A7">
      <w:pPr>
        <w:rPr>
          <w:b/>
          <w:bCs/>
        </w:rPr>
      </w:pPr>
    </w:p>
    <w:p w14:paraId="40F087A9" w14:textId="77777777" w:rsidR="008102B8" w:rsidRPr="00422790" w:rsidRDefault="008102B8">
      <w:pPr>
        <w:rPr>
          <w:b/>
          <w:bCs/>
          <w:sz w:val="28"/>
          <w:szCs w:val="28"/>
        </w:rPr>
      </w:pPr>
      <w:r w:rsidRPr="00422790">
        <w:rPr>
          <w:b/>
          <w:bCs/>
          <w:sz w:val="28"/>
          <w:szCs w:val="28"/>
        </w:rPr>
        <w:br w:type="page"/>
      </w:r>
    </w:p>
    <w:p w14:paraId="0CD0249A" w14:textId="3914AF75" w:rsidR="00CE5F1C" w:rsidRPr="00FF4CC0" w:rsidRDefault="00D93E95" w:rsidP="004405A7">
      <w:pPr>
        <w:pStyle w:val="ListParagraph"/>
        <w:numPr>
          <w:ilvl w:val="0"/>
          <w:numId w:val="21"/>
        </w:numPr>
        <w:rPr>
          <w:b/>
          <w:bCs/>
          <w:sz w:val="28"/>
          <w:szCs w:val="28"/>
        </w:rPr>
      </w:pPr>
      <w:r w:rsidRPr="00422790">
        <w:rPr>
          <w:b/>
          <w:bCs/>
          <w:sz w:val="28"/>
          <w:szCs w:val="28"/>
        </w:rPr>
        <w:lastRenderedPageBreak/>
        <w:t>Excellence</w:t>
      </w:r>
      <w:r w:rsidR="00B40BDA" w:rsidRPr="00422790">
        <w:rPr>
          <w:b/>
          <w:bCs/>
          <w:sz w:val="28"/>
          <w:szCs w:val="28"/>
        </w:rPr>
        <w:t xml:space="preserve"> </w:t>
      </w:r>
    </w:p>
    <w:p w14:paraId="5E9D9946" w14:textId="77777777" w:rsidR="00CE5F1C" w:rsidRPr="00422790" w:rsidRDefault="00CE5F1C" w:rsidP="004405A7">
      <w:pPr>
        <w:rPr>
          <w:b/>
          <w:bCs/>
        </w:rPr>
      </w:pPr>
    </w:p>
    <w:p w14:paraId="572A8E87" w14:textId="1E7F2CFF" w:rsidR="00B2657C" w:rsidRPr="00FF4CC0" w:rsidRDefault="00D93E95" w:rsidP="004405A7">
      <w:pPr>
        <w:pStyle w:val="ListParagraph"/>
        <w:numPr>
          <w:ilvl w:val="1"/>
          <w:numId w:val="22"/>
        </w:numPr>
        <w:rPr>
          <w:noProof/>
          <w:color w:val="B5B5B5"/>
        </w:rPr>
      </w:pPr>
      <w:r w:rsidRPr="00422790">
        <w:rPr>
          <w:b/>
          <w:bCs/>
        </w:rPr>
        <w:t>Objectives and ambition</w:t>
      </w:r>
      <w:r w:rsidR="00962983">
        <w:rPr>
          <w:b/>
          <w:bCs/>
        </w:rPr>
        <w:t xml:space="preserve"> [4 pages]</w:t>
      </w:r>
    </w:p>
    <w:p w14:paraId="7F122217" w14:textId="77777777" w:rsidR="008A06F7" w:rsidRPr="008A06F7" w:rsidRDefault="008A06F7" w:rsidP="008A06F7">
      <w:pPr>
        <w:spacing w:before="80" w:after="80"/>
        <w:rPr>
          <w:b/>
          <w:bCs/>
          <w:sz w:val="26"/>
          <w:szCs w:val="26"/>
        </w:rPr>
      </w:pPr>
      <w:r w:rsidRPr="008A06F7">
        <w:rPr>
          <w:b/>
          <w:bCs/>
          <w:sz w:val="26"/>
          <w:szCs w:val="26"/>
        </w:rPr>
        <w:t>The burden: three diseases, one generation, one intervention window</w:t>
      </w:r>
    </w:p>
    <w:p w14:paraId="68C88B66" w14:textId="77777777" w:rsidR="008A06F7" w:rsidRPr="008A06F7" w:rsidRDefault="008A06F7" w:rsidP="008A06F7">
      <w:pPr>
        <w:spacing w:before="80" w:after="80"/>
      </w:pPr>
      <w:r w:rsidRPr="008A06F7">
        <w:t>Non-communicable diseases (NCDs) are the leading cause of death and disability in Europe, accounting for approximately 90% of all mortality. Among adults, NCD burden accumulates over decades — but the biological, behavioural, and social conditions that determine lifetime NCD risk are set during adolescence and early adulthood, between the ages of 12 and 25. Sawyer et al. established this window as the single most consequential period for long-term health trajectories.</w:t>
      </w:r>
      <w:r w:rsidRPr="008A06F7">
        <w:rPr>
          <w:vertAlign w:val="superscript"/>
        </w:rPr>
        <w:t>1</w:t>
      </w:r>
      <w:r w:rsidRPr="008A06F7">
        <w:t xml:space="preserve"> It follows, therefore, that NCD prevention investments directed at this age group carry the highest potential return — and the longest window before harm is irreversible.</w:t>
      </w:r>
    </w:p>
    <w:p w14:paraId="240F6E95" w14:textId="08E8B778" w:rsidR="008A06F7" w:rsidRDefault="008A06F7" w:rsidP="009B4A65">
      <w:pPr>
        <w:spacing w:before="80" w:after="80"/>
      </w:pPr>
      <w:r w:rsidRPr="008A06F7">
        <w:t>Europe is currently failing this generation across three interconnected disease domains. Z-HEALTH targets each one directly, starting from the disease — its burden, its biology, and its modifiable causes — and working backwards to the interventions that can change its course.</w:t>
      </w:r>
    </w:p>
    <w:p w14:paraId="0E11DB41" w14:textId="7F9FC78D" w:rsidR="004A7633" w:rsidRDefault="004A7633" w:rsidP="004A7633">
      <w:pPr>
        <w:pStyle w:val="Heading3"/>
        <w:ind w:left="0" w:firstLine="0"/>
      </w:pPr>
      <w:r>
        <w:rPr>
          <w:rFonts w:ascii="Times New Roman" w:hAnsi="Times New Roman"/>
          <w:b/>
          <w:bCs/>
          <w:sz w:val="23"/>
          <w:szCs w:val="23"/>
        </w:rPr>
        <w:t>Obesity</w:t>
      </w:r>
    </w:p>
    <w:p w14:paraId="5E14F9F2" w14:textId="77777777" w:rsidR="004A7633" w:rsidRDefault="004A7633" w:rsidP="004A7633">
      <w:pPr>
        <w:spacing w:after="140" w:line="282" w:lineRule="auto"/>
        <w:jc w:val="both"/>
      </w:pPr>
      <w:r>
        <w:t xml:space="preserve">Obesity (ICD-11 5B81) is a chronic, progressive, relapsing disease — not a risk factor, a lifestyle failing, or a side-effect of other conditions. The WHO recognises obesity as a </w:t>
      </w:r>
      <w:proofErr w:type="gramStart"/>
      <w:r>
        <w:t>disease in its own right, with</w:t>
      </w:r>
      <w:proofErr w:type="gramEnd"/>
      <w:r>
        <w:t xml:space="preserve"> distinct pathophysiology, defined diagnostic criteria, and independent attributable mortality. In European youth, the scale is now alarming: across 35 countries participating in the WHO COSI study, 29% of children and adolescents are overweight or obese,</w:t>
      </w:r>
      <w:r>
        <w:rPr>
          <w:vertAlign w:val="superscript"/>
        </w:rPr>
        <w:t>2</w:t>
      </w:r>
      <w:r>
        <w:t xml:space="preserve"> with the highest rates in Southern and Eastern Europe exceeding 40%. Garrido-Miguel et al. (2019), in a systematic review and meta-analysis of 103 studies covering 636,933 European children aged 3–16, documented a monotonic increase in obesity prevalence from 1999 to 2016 in virtually every country studied.</w:t>
      </w:r>
      <w:r>
        <w:rPr>
          <w:vertAlign w:val="superscript"/>
        </w:rPr>
        <w:t>3</w:t>
      </w:r>
    </w:p>
    <w:p w14:paraId="65C58EA1" w14:textId="77777777" w:rsidR="004A7633" w:rsidRDefault="004A7633" w:rsidP="004A7633">
      <w:pPr>
        <w:spacing w:after="140" w:line="282" w:lineRule="auto"/>
        <w:jc w:val="both"/>
      </w:pPr>
      <w:r>
        <w:t>The consequences of adolescent obesity are severe and compound. Obesity in adolescence is associated with a 5-fold increase in the risk of adult obesity,</w:t>
      </w:r>
      <w:r>
        <w:rPr>
          <w:vertAlign w:val="superscript"/>
        </w:rPr>
        <w:t>2</w:t>
      </w:r>
      <w:r>
        <w:t xml:space="preserve"> and directly predicts incident type 2 diabetes, cardiovascular disease, non-alcoholic fatty liver disease, hypertension, obstructive sleep apnoea, and several cancers in adulthood. Beyond physical comorbidity, adolescent obesity is strongly associated with depression, anxiety, and eating disorders — a bidirectional relationship that amplifies both conditions. The economic cost of obesity in the EU is estimated at over €70 billion annually in direct healthcare expenditure and productivity losses.</w:t>
      </w:r>
    </w:p>
    <w:p w14:paraId="2D2B836D" w14:textId="09DA02E9" w:rsidR="004A7633" w:rsidRDefault="004A7633" w:rsidP="004A7633">
      <w:pPr>
        <w:spacing w:after="140" w:line="282" w:lineRule="auto"/>
        <w:jc w:val="both"/>
      </w:pPr>
      <w:r>
        <w:t>The primary behavioural driver in young people is dietary quality, specifically consumption of ultra-processed foods (UPFs) — industrially manufactured products containing additives, emulsifiers, and engineered palatability profiles that override normal satiety signalling. UPF now comprises over 50% of dietary energy intake among adolescents in the UK, and between 30–48% in France, Germany, and the Nordic countries.</w:t>
      </w:r>
      <w:r>
        <w:rPr>
          <w:vertAlign w:val="superscript"/>
        </w:rPr>
        <w:t>4</w:t>
      </w:r>
      <w:r>
        <w:t xml:space="preserve"> Physical inactivity compounds this: fewer than 20% of European adolescents meet WHO guidelines for moderate-to-vigorous physical activity.</w:t>
      </w:r>
    </w:p>
    <w:p w14:paraId="795DA637" w14:textId="2FB76130" w:rsidR="004A7633" w:rsidRDefault="004A7633" w:rsidP="004A7633">
      <w:pPr>
        <w:pStyle w:val="Heading3"/>
        <w:ind w:left="0" w:firstLine="0"/>
      </w:pPr>
      <w:r>
        <w:rPr>
          <w:rFonts w:ascii="Times New Roman" w:hAnsi="Times New Roman"/>
          <w:b/>
          <w:bCs/>
          <w:sz w:val="23"/>
          <w:szCs w:val="23"/>
        </w:rPr>
        <w:t>Mental health diseases</w:t>
      </w:r>
    </w:p>
    <w:p w14:paraId="18BE7FF9" w14:textId="77777777" w:rsidR="004A7633" w:rsidRDefault="004A7633" w:rsidP="004A7633">
      <w:pPr>
        <w:spacing w:after="140" w:line="282" w:lineRule="auto"/>
        <w:jc w:val="both"/>
      </w:pPr>
      <w:r>
        <w:t>Mental disorders among young Europeans are not a homogeneous category — they are a family of distinct diseases with different aetiologies, different intervention targets, and different trajectories. Z-HEALTH focuses on three that dominate the burden in the 12–25 age group and share common digital environment exposure pathways.</w:t>
      </w:r>
    </w:p>
    <w:p w14:paraId="5F402DD3" w14:textId="77777777" w:rsidR="004A7633" w:rsidRDefault="004A7633" w:rsidP="004A7633">
      <w:pPr>
        <w:spacing w:after="140" w:line="282" w:lineRule="auto"/>
        <w:jc w:val="both"/>
      </w:pPr>
      <w:r>
        <w:t xml:space="preserve">Depression and anxiety (ICD-11 6A70–6B04) are the leading causes of disability-adjusted life years (DALYs) in European youth. </w:t>
      </w:r>
      <w:proofErr w:type="spellStart"/>
      <w:r>
        <w:t>Castelpietra</w:t>
      </w:r>
      <w:proofErr w:type="spellEnd"/>
      <w:r>
        <w:t xml:space="preserve"> et al. (2022), analysing Global Burden of Disease data for 30 European countries from 1990 to 2019, found that mental disorders, substance use disorders, and self-</w:t>
      </w:r>
      <w:r>
        <w:lastRenderedPageBreak/>
        <w:t>harm collectively accounted for approximately 15% of all DALYs in the 10–24 age group.</w:t>
      </w:r>
      <w:r>
        <w:rPr>
          <w:vertAlign w:val="superscript"/>
        </w:rPr>
        <w:t>5</w:t>
      </w:r>
      <w:r>
        <w:t xml:space="preserve"> The Lancet Psychiatry Commission on youth mental health (McGorry et al., 2024) identified a global youth mental health crisis, with 75% of adult mental disorders having their onset before age 25 and prevalence of anxiety and depression in European youth rising sharply from 2012 onwards — a rise that correlates temporally with the proliferation of smartphone social media.</w:t>
      </w:r>
      <w:r>
        <w:rPr>
          <w:vertAlign w:val="superscript"/>
        </w:rPr>
        <w:t>6</w:t>
      </w:r>
    </w:p>
    <w:p w14:paraId="3C2AE499" w14:textId="77777777" w:rsidR="004A7633" w:rsidRDefault="004A7633" w:rsidP="004A7633">
      <w:pPr>
        <w:spacing w:after="140" w:line="282" w:lineRule="auto"/>
        <w:jc w:val="both"/>
      </w:pPr>
      <w:r>
        <w:t xml:space="preserve">Sleep disorders (ICD-11 7A00–7A20) are insufficiently recognised as </w:t>
      </w:r>
      <w:proofErr w:type="gramStart"/>
      <w:r>
        <w:t>diseases in their own right, yet</w:t>
      </w:r>
      <w:proofErr w:type="gramEnd"/>
      <w:r>
        <w:t xml:space="preserve"> they carry substantial independent morbidity. Chronic sleep insufficiency in adolescence is associated with increased risk of depression, anxiety, obesity, type 2 diabetes, and cardiovascular disease. Carter et al. (2016) demonstrated in a systematic review and meta-analysis that portable screen-based media access was significantly associated with reduced sleep duration (OR 2.17) and poor sleep quality (OR 1.46).</w:t>
      </w:r>
      <w:r>
        <w:rPr>
          <w:vertAlign w:val="superscript"/>
        </w:rPr>
        <w:t>7</w:t>
      </w:r>
      <w:r>
        <w:t xml:space="preserve"> European data show that 30–40% of adolescents report insufficient sleep, a proportion that has increased in parallel with smartphone adoption.</w:t>
      </w:r>
    </w:p>
    <w:p w14:paraId="4B4288EC" w14:textId="7EE1CD89" w:rsidR="004A7633" w:rsidRDefault="004A7633" w:rsidP="004A7633">
      <w:pPr>
        <w:spacing w:after="140" w:line="282" w:lineRule="auto"/>
        <w:jc w:val="both"/>
      </w:pPr>
      <w:r>
        <w:t xml:space="preserve">Eating disorders (ICD-11 6B80–6B84) — including anorexia nervosa, bulimia nervosa, and binge-eating disorder — have the highest mortality of any mental health condition, with standardised mortality ratios up to 6 times that of the general population. They disproportionately onset in the 12–20 age range, are exacerbated by social media-mediated body image </w:t>
      </w:r>
      <w:proofErr w:type="gramStart"/>
      <w:r>
        <w:t>exposure, and</w:t>
      </w:r>
      <w:proofErr w:type="gramEnd"/>
      <w:r>
        <w:t xml:space="preserve"> are increasingly comorbid with obesity as binge-eating disorder becomes the most prevalent eating disorder subtype.</w:t>
      </w:r>
    </w:p>
    <w:p w14:paraId="528BA6C4" w14:textId="291836BF" w:rsidR="004A7633" w:rsidRDefault="004A7633" w:rsidP="004A7633">
      <w:pPr>
        <w:pStyle w:val="Heading3"/>
        <w:ind w:left="0" w:firstLine="0"/>
      </w:pPr>
      <w:r>
        <w:rPr>
          <w:rFonts w:ascii="Times New Roman" w:hAnsi="Times New Roman"/>
          <w:b/>
          <w:bCs/>
          <w:sz w:val="23"/>
          <w:szCs w:val="23"/>
        </w:rPr>
        <w:t>Addictions</w:t>
      </w:r>
    </w:p>
    <w:p w14:paraId="52898FA8" w14:textId="77777777" w:rsidR="004A7633" w:rsidRDefault="004A7633" w:rsidP="004A7633">
      <w:pPr>
        <w:spacing w:after="140" w:line="282" w:lineRule="auto"/>
        <w:jc w:val="both"/>
      </w:pPr>
      <w:r>
        <w:t>Addictions are diseases. Alcohol use disorder (ICD-11 6C40), nicotine/vaping dependence (6C4A), gambling disorder (6C50), and gaming disorder (6C51) are classified under ICD-11 Chapter 6C (Disorders due to substance use or addictive behaviours). They share a neurobiological substrate — dysregulation of dopaminergic reward circuitry — and a developmental vulnerability: the adolescent brain is disproportionately susceptible to addiction onset because prefrontal inhibitory control is not fully mature until age 25.</w:t>
      </w:r>
    </w:p>
    <w:p w14:paraId="025913CD" w14:textId="77777777" w:rsidR="004A7633" w:rsidRDefault="004A7633" w:rsidP="004A7633">
      <w:pPr>
        <w:spacing w:after="140" w:line="282" w:lineRule="auto"/>
        <w:jc w:val="both"/>
      </w:pPr>
      <w:r>
        <w:t>The scale of the problem in European youth is substantial. Hazardous alcohol use affects approximately 12–15% of young people aged 15–24, with binge drinking patterns established in adolescence predicting lifetime alcohol use disorder.</w:t>
      </w:r>
      <w:r>
        <w:rPr>
          <w:vertAlign w:val="superscript"/>
        </w:rPr>
        <w:t>5</w:t>
      </w:r>
      <w:r>
        <w:t xml:space="preserve"> Vaping (nicotine/electronic cigarette use) has escalated sharply: the WHO European Regional Office reported in 2025 that the EU has the highest rate of youth e-cigarette use globally, with 32% of 13–15 year-olds in some countries having tried e-cigarettes.</w:t>
      </w:r>
      <w:r>
        <w:rPr>
          <w:vertAlign w:val="superscript"/>
        </w:rPr>
        <w:t>8</w:t>
      </w:r>
      <w:r>
        <w:t xml:space="preserve"> Tarasenko et al. (2022), analysing Global Youth Tobacco Survey data across 17 European sites, found current e-cigarette use of 5–22% among adolescents depending on country.</w:t>
      </w:r>
      <w:r>
        <w:rPr>
          <w:vertAlign w:val="superscript"/>
        </w:rPr>
        <w:t>9</w:t>
      </w:r>
    </w:p>
    <w:p w14:paraId="2E5944F0" w14:textId="77777777" w:rsidR="004A7633" w:rsidRDefault="004A7633" w:rsidP="004A7633">
      <w:pPr>
        <w:spacing w:after="140" w:line="282" w:lineRule="auto"/>
        <w:jc w:val="both"/>
      </w:pPr>
      <w:r>
        <w:t>Problem gambling is emerging as a significant youth disorder: Calado et al. (2017), in a systematic review of 44 studies, found problem gambling prevalence of 0.2–12.3% among adolescents, with higher rates among males and digital/online gamblers.</w:t>
      </w:r>
      <w:r>
        <w:rPr>
          <w:vertAlign w:val="superscript"/>
        </w:rPr>
        <w:t>10</w:t>
      </w:r>
      <w:r>
        <w:t xml:space="preserve"> All three addiction domains share a critical characteristic: digital environments are the primary contemporary vector for onset and escalation — through advertising, platform design, and the social </w:t>
      </w:r>
      <w:proofErr w:type="spellStart"/>
      <w:r>
        <w:t>normativisation</w:t>
      </w:r>
      <w:proofErr w:type="spellEnd"/>
      <w:r>
        <w:t xml:space="preserve"> of addictive products and behaviours in algorithmically curated feeds.</w:t>
      </w:r>
    </w:p>
    <w:p w14:paraId="4111D21E" w14:textId="62D33C6D" w:rsidR="004A7633" w:rsidRDefault="004A7633" w:rsidP="004A7633">
      <w:pPr>
        <w:pStyle w:val="Heading3"/>
        <w:ind w:left="0" w:firstLine="0"/>
      </w:pPr>
      <w:r>
        <w:rPr>
          <w:rFonts w:ascii="Times New Roman" w:hAnsi="Times New Roman"/>
          <w:b/>
          <w:bCs/>
          <w:sz w:val="23"/>
          <w:szCs w:val="23"/>
        </w:rPr>
        <w:t>Why 12–25 is the intervention window that matters</w:t>
      </w:r>
    </w:p>
    <w:p w14:paraId="63B694B9" w14:textId="77777777" w:rsidR="004A7633" w:rsidRDefault="004A7633" w:rsidP="004A7633">
      <w:pPr>
        <w:spacing w:after="140" w:line="282" w:lineRule="auto"/>
        <w:jc w:val="both"/>
      </w:pPr>
      <w:r>
        <w:t>All three conditions share a developmental compression point. Sawyer et al. established that 70% of adult mental health disorders have their first onset before age 25;</w:t>
      </w:r>
      <w:r>
        <w:rPr>
          <w:vertAlign w:val="superscript"/>
        </w:rPr>
        <w:t>1</w:t>
      </w:r>
      <w:r>
        <w:t xml:space="preserve"> obesity tracks from childhood to adulthood with high persistence;</w:t>
      </w:r>
      <w:r>
        <w:rPr>
          <w:vertAlign w:val="superscript"/>
        </w:rPr>
        <w:t>2</w:t>
      </w:r>
      <w:r>
        <w:t xml:space="preserve"> and addiction disorders onset overwhelmingly in the 15–24 window, with earlier onset predicting greater severity.</w:t>
      </w:r>
      <w:r>
        <w:rPr>
          <w:vertAlign w:val="superscript"/>
        </w:rPr>
        <w:t>10</w:t>
      </w:r>
      <w:r>
        <w:t xml:space="preserve"> The biological basis for this compression is neurodevelopmental: </w:t>
      </w:r>
      <w:r>
        <w:lastRenderedPageBreak/>
        <w:t>adolescence is characterised by heightened neuroplasticity — greater capacity for habit formation and, critically, greater responsiveness to intervention — combined with incompletely developed prefrontal inhibitory control. This creates a window in which environmental influences shape disease trajectories that persist for life, and in which well-timed behavioural interventions can change those trajectories in ways that become progressively harder to achieve with age.</w:t>
      </w:r>
    </w:p>
    <w:p w14:paraId="0CEA7B61" w14:textId="01BCDF1B" w:rsidR="004A7633" w:rsidRDefault="004A7633" w:rsidP="004A7633">
      <w:pPr>
        <w:spacing w:after="140" w:line="282" w:lineRule="auto"/>
        <w:jc w:val="both"/>
      </w:pPr>
      <w:r>
        <w:t>Europe's 90 million young people aged 12–25 are moving through this window right now. The generation currently in it is the first to have spent their formative years immersed in pervasive, algorithmically curated digital environments — and the NCD epidemiology of this generation reflects that exposure. Z-HEALTH is designed to generate the evidence base that European policy needs to protect it.</w:t>
      </w:r>
    </w:p>
    <w:p w14:paraId="03B68A7A" w14:textId="6DEFCF5A" w:rsidR="004A7633" w:rsidRDefault="004A7633" w:rsidP="004A7633">
      <w:pPr>
        <w:pStyle w:val="Heading2"/>
        <w:ind w:left="0"/>
      </w:pPr>
      <w:r>
        <w:rPr>
          <w:rFonts w:ascii="Times New Roman" w:hAnsi="Times New Roman"/>
          <w:b/>
          <w:bCs/>
          <w:sz w:val="24"/>
          <w:szCs w:val="24"/>
        </w:rPr>
        <w:t>The shared exposure pathway: how digital environments drive all three conditions</w:t>
      </w:r>
    </w:p>
    <w:p w14:paraId="0CEB1FD3" w14:textId="77777777" w:rsidR="004A7633" w:rsidRDefault="004A7633" w:rsidP="004A7633">
      <w:pPr>
        <w:spacing w:after="140" w:line="282" w:lineRule="auto"/>
        <w:jc w:val="both"/>
      </w:pPr>
      <w:r>
        <w:t xml:space="preserve">Digital environments do not merely correlate with poor health outcomes in young people — they are an active causal agent. The mechanism is a </w:t>
      </w:r>
      <w:r>
        <w:rPr>
          <w:b/>
          <w:bCs/>
        </w:rPr>
        <w:t>habit-formation pathway</w:t>
      </w:r>
      <w:r>
        <w:t>: repeated digital exposure generates automaticity; automaticity produces habit; habits persist when stabilised by identity and social norms. This pathway operates across all three disease domains through four specific mechanisms, each of which constitutes an intervention target for Z-HEALTH.</w:t>
      </w:r>
    </w:p>
    <w:p w14:paraId="680FB917" w14:textId="77777777" w:rsidR="004A7633" w:rsidRDefault="004A7633" w:rsidP="004A7633">
      <w:pPr>
        <w:spacing w:after="140" w:line="282" w:lineRule="auto"/>
        <w:jc w:val="both"/>
      </w:pPr>
      <w:proofErr w:type="spellStart"/>
      <w:r>
        <w:rPr>
          <w:b/>
          <w:bCs/>
        </w:rPr>
        <w:t>i</w:t>
      </w:r>
      <w:proofErr w:type="spellEnd"/>
      <w:r>
        <w:rPr>
          <w:b/>
          <w:bCs/>
        </w:rPr>
        <w:t xml:space="preserve">. Hyper-targeted marketing of health-harmful products. </w:t>
      </w:r>
      <w:r>
        <w:t>Digital platforms enable the marketing of UPF, alcohol, nicotine, and gambling products to young people with a precision, personalisation, and scale that has no historical precedent. Boyland et al. (2022), in a systematic review and meta-analysis of 87 studies, found robust evidence that food and beverage marketing — including digital marketing — is causally associated with children and adolescents' eating behaviours and health outcomes.</w:t>
      </w:r>
      <w:r>
        <w:rPr>
          <w:vertAlign w:val="superscript"/>
        </w:rPr>
        <w:t>11</w:t>
      </w:r>
      <w:r>
        <w:t xml:space="preserve"> Bragg et al. (2021) demonstrated experimentally that exposure to alcohol advertising on social media increased young adults' alcohol intentions and consumption.</w:t>
      </w:r>
      <w:r>
        <w:rPr>
          <w:vertAlign w:val="superscript"/>
        </w:rPr>
        <w:t>12</w:t>
      </w:r>
      <w:r>
        <w:t xml:space="preserve"> Montiel et al. (2021) documented the association between online gambling access and adolescent problem gambling.</w:t>
      </w:r>
      <w:r>
        <w:rPr>
          <w:vertAlign w:val="superscript"/>
        </w:rPr>
        <w:t>13</w:t>
      </w:r>
    </w:p>
    <w:p w14:paraId="3E3CA60F" w14:textId="77777777" w:rsidR="004A7633" w:rsidRDefault="004A7633" w:rsidP="004A7633">
      <w:pPr>
        <w:spacing w:after="140" w:line="282" w:lineRule="auto"/>
        <w:jc w:val="both"/>
      </w:pPr>
      <w:r>
        <w:rPr>
          <w:b/>
          <w:bCs/>
        </w:rPr>
        <w:t xml:space="preserve">ii. Platform design that normalises and eases access to health-harmful content. </w:t>
      </w:r>
      <w:r>
        <w:t>Infinite scroll, autoplay, notification architectures, and algorithmic content curation are designed to maximise engagement — and engagement with health-harmful content drives health-harmful behaviours. These design features function as exposure amplifiers for all three disease domains: they increase UPF marketing exposure time, extend late-night device use that disrupts sleep, and create the variable reward schedules that underpin gambling and gaming disorder.</w:t>
      </w:r>
    </w:p>
    <w:p w14:paraId="37BB6D35" w14:textId="77777777" w:rsidR="004A7633" w:rsidRDefault="004A7633" w:rsidP="004A7633">
      <w:pPr>
        <w:spacing w:after="140" w:line="282" w:lineRule="auto"/>
        <w:jc w:val="both"/>
      </w:pPr>
      <w:r>
        <w:rPr>
          <w:b/>
          <w:bCs/>
        </w:rPr>
        <w:t xml:space="preserve">iii. Health misinformation that distorts beliefs and perceived norms. </w:t>
      </w:r>
      <w:r>
        <w:t>Suarez-Lledo &amp; Alvarez-Galvez (2021), in a systematic review of 69 studies, found that health misinformation — including nutritional misinformation, pro-eating-disorder content, and minimisation of alcohol and gambling harms — is prevalent and widely engaged with on social media.</w:t>
      </w:r>
      <w:r>
        <w:rPr>
          <w:vertAlign w:val="superscript"/>
        </w:rPr>
        <w:t>14</w:t>
      </w:r>
      <w:r>
        <w:t xml:space="preserve"> For young people whose health beliefs are still forming, this misinformation directly shapes the normative landscape that determines whether healthy or unhealthy behaviours feel socially acceptable.</w:t>
      </w:r>
    </w:p>
    <w:p w14:paraId="7D2AF556" w14:textId="37DB742F" w:rsidR="004A7633" w:rsidRDefault="004A7633" w:rsidP="004A7633">
      <w:pPr>
        <w:spacing w:after="140" w:line="282" w:lineRule="auto"/>
        <w:jc w:val="both"/>
      </w:pPr>
      <w:r>
        <w:rPr>
          <w:b/>
          <w:bCs/>
        </w:rPr>
        <w:t xml:space="preserve">iv. Restructuring of social interaction in ways that harm health. </w:t>
      </w:r>
      <w:r>
        <w:t>Social media has transformed how young people relate to peers, with consequences for all three disease domains. Screen-mediated social comparison drives body dissatisfaction, disordered eating, and anxiety. Late-night social media use displaces sleep. Social isolation — paradoxically common among heavy social media users — is an independent risk factor for depression, obesity, and addiction. Twenge et al. (2020) documented in Nature Human Behaviour that the magnitude of associations between social media use and adolescent mental health is clinically meaningful and has been systematically underestimated.</w:t>
      </w:r>
      <w:r>
        <w:rPr>
          <w:vertAlign w:val="superscript"/>
        </w:rPr>
        <w:t>15</w:t>
      </w:r>
      <w:r>
        <w:t xml:space="preserve"> Orben et al. (2022) identified </w:t>
      </w:r>
      <w:r>
        <w:lastRenderedPageBreak/>
        <w:t>specific developmental windows — ages 11–13 for girls and 14–15 for boys — during which social media sensitivity is greatest.</w:t>
      </w:r>
      <w:r>
        <w:rPr>
          <w:vertAlign w:val="superscript"/>
        </w:rPr>
        <w:t>16</w:t>
      </w:r>
    </w:p>
    <w:p w14:paraId="6B927211" w14:textId="0A045A4D" w:rsidR="004A7633" w:rsidRDefault="004A7633" w:rsidP="004A7633">
      <w:pPr>
        <w:pStyle w:val="Heading2"/>
        <w:ind w:left="0"/>
      </w:pPr>
      <w:r>
        <w:rPr>
          <w:rFonts w:ascii="Times New Roman" w:hAnsi="Times New Roman"/>
          <w:b/>
          <w:bCs/>
          <w:sz w:val="24"/>
          <w:szCs w:val="24"/>
        </w:rPr>
        <w:t>The evidence gap: why effective intervention evidence does not yet exist at the required scale</w:t>
      </w:r>
    </w:p>
    <w:p w14:paraId="6C2ED46F" w14:textId="77777777" w:rsidR="004A7633" w:rsidRDefault="004A7633" w:rsidP="004A7633">
      <w:pPr>
        <w:spacing w:after="140" w:line="282" w:lineRule="auto"/>
        <w:jc w:val="both"/>
      </w:pPr>
      <w:r>
        <w:t>Despite the scale of the problem, the evidence base for effective behavioural interventions targeting these three disease conditions in 12–</w:t>
      </w:r>
      <w:proofErr w:type="gramStart"/>
      <w:r>
        <w:t>25 year-olds</w:t>
      </w:r>
      <w:proofErr w:type="gramEnd"/>
      <w:r>
        <w:t>, in European settings, at the scale required for population-level impact, remains critically underdeveloped. Four gaps are decisive.</w:t>
      </w:r>
    </w:p>
    <w:p w14:paraId="5B98937E" w14:textId="77777777" w:rsidR="004A7633" w:rsidRDefault="004A7633" w:rsidP="004A7633">
      <w:pPr>
        <w:spacing w:after="140" w:line="282" w:lineRule="auto"/>
        <w:jc w:val="both"/>
      </w:pPr>
      <w:r>
        <w:rPr>
          <w:b/>
          <w:bCs/>
        </w:rPr>
        <w:t xml:space="preserve">Gap 1: Single-condition trials that miss shared pathways. </w:t>
      </w:r>
      <w:r>
        <w:t>Existing intervention research is siloed by disease. There are trials for obesity interventions, mental health interventions, and addiction interventions — but no project has simultaneously addressed all three conditions within a common theoretical framework, tested whether interventions targeting shared digital exposure pathways produce cross-condition benefits, or evaluated whether gains on one condition come at the cost of another. Z-HEALTH fills this gap.</w:t>
      </w:r>
    </w:p>
    <w:p w14:paraId="075F3BA4" w14:textId="77777777" w:rsidR="004A7633" w:rsidRDefault="004A7633" w:rsidP="004A7633">
      <w:pPr>
        <w:spacing w:after="140" w:line="282" w:lineRule="auto"/>
        <w:jc w:val="both"/>
      </w:pPr>
      <w:r>
        <w:rPr>
          <w:b/>
          <w:bCs/>
        </w:rPr>
        <w:t xml:space="preserve">Gap 2: Controlled settings that fail to demonstrate real-world scalability. </w:t>
      </w:r>
      <w:r>
        <w:t>Most existing behavioural intervention trials are conducted in highly controlled settings with atypical populations. They demonstrate proof-of-concept efficacy but not the real-world effectiveness across diverse European cultural, socioeconomic, and regulatory contexts that policymakers need. Z-HEALTH deploys interventions at scale across ≥5 European countries — spanning social-democratic, Mediterranean, and post-socialist welfare contexts — to generate the generalisable evidence the call requires.</w:t>
      </w:r>
    </w:p>
    <w:p w14:paraId="6B7FC783" w14:textId="77777777" w:rsidR="004A7633" w:rsidRDefault="004A7633" w:rsidP="004A7633">
      <w:pPr>
        <w:spacing w:after="140" w:line="282" w:lineRule="auto"/>
        <w:jc w:val="both"/>
      </w:pPr>
      <w:r>
        <w:rPr>
          <w:b/>
          <w:bCs/>
        </w:rPr>
        <w:t xml:space="preserve">Gap 3: No European evaluation of the digital regulatory experiments already underway. </w:t>
      </w:r>
      <w:r>
        <w:t>France (2023), the United Kingdom (2024), Australia (2024), and Norway have introduced or legislated restrictions on under-16 smartphone and social media access — the largest natural experiments in youth digital environment modification ever conducted. None has been rigorously evaluated for downstream effects on NCD outcomes. These policy experiments are creating staggered implementation timelines across Z-HEALTH consortium countries, providing a unique quasi-experimental platform. Without Z-HEALTH, this evidence opportunity will be lost.</w:t>
      </w:r>
    </w:p>
    <w:p w14:paraId="7F0B3476" w14:textId="4CB405B3" w:rsidR="004A7633" w:rsidRDefault="004A7633" w:rsidP="00F41345">
      <w:pPr>
        <w:spacing w:after="140" w:line="282" w:lineRule="auto"/>
        <w:jc w:val="both"/>
      </w:pPr>
      <w:r>
        <w:rPr>
          <w:b/>
          <w:bCs/>
        </w:rPr>
        <w:t xml:space="preserve">Gap 4: No account of equity and the bundling problem. </w:t>
      </w:r>
      <w:r>
        <w:t xml:space="preserve">High-agency behavioural interventions — self-monitoring, </w:t>
      </w:r>
      <w:proofErr w:type="gramStart"/>
      <w:r>
        <w:t>goal-setting</w:t>
      </w:r>
      <w:proofErr w:type="gramEnd"/>
      <w:r>
        <w:t xml:space="preserve">, digital therapeutics — tend to benefit young people who are already advantaged: those with higher health literacy, greater digital access, and more supportive environments. When deployed without structural protection (low-agency G1/G2 interventions), high-agency interventions can widen health inequalities rather than narrow them. This is the core equity hypothesis that </w:t>
      </w:r>
      <w:proofErr w:type="spellStart"/>
      <w:r>
        <w:t>Miraldo's</w:t>
      </w:r>
      <w:proofErr w:type="spellEnd"/>
      <w:r>
        <w:t xml:space="preserve"> bundling framework addresses — and it has never been tested in the context of digital environment interventions. Z-HEALTH tests it directly.</w:t>
      </w:r>
    </w:p>
    <w:p w14:paraId="602CFD71" w14:textId="6B8817F5" w:rsidR="004A7633" w:rsidRDefault="004A7633" w:rsidP="00F41345">
      <w:pPr>
        <w:pStyle w:val="Heading2"/>
        <w:ind w:left="0"/>
      </w:pPr>
      <w:r>
        <w:rPr>
          <w:rFonts w:ascii="Times New Roman" w:hAnsi="Times New Roman"/>
          <w:b/>
          <w:bCs/>
          <w:sz w:val="24"/>
          <w:szCs w:val="24"/>
        </w:rPr>
        <w:t xml:space="preserve">Z-HEALTH: </w:t>
      </w:r>
      <w:r w:rsidR="00F41345">
        <w:rPr>
          <w:rFonts w:ascii="Times New Roman" w:hAnsi="Times New Roman"/>
          <w:b/>
          <w:bCs/>
          <w:sz w:val="24"/>
          <w:szCs w:val="24"/>
        </w:rPr>
        <w:t>an overview</w:t>
      </w:r>
    </w:p>
    <w:p w14:paraId="4D542737" w14:textId="38C3BB54" w:rsidR="009468E8" w:rsidRPr="00FD41CC" w:rsidRDefault="004A7633" w:rsidP="00FD41CC">
      <w:pPr>
        <w:spacing w:after="140" w:line="282" w:lineRule="auto"/>
        <w:jc w:val="both"/>
      </w:pPr>
      <w:r>
        <w:t>Z-HEALTH — Health in the Digital Generation — is a multi-country Research and Innovation Action that will evaluate, at scale and across diverse European contexts, the effectiveness of evidence-based behavioural interventions for preventing and reducing the burden of obesity, mental health diseases, and addictions in young people aged 12 to 25. It does so by targeting the shared modifiable causal pathway — the digital habit-formation process — through a pre-specified architecture of four complementary intervention families.</w:t>
      </w:r>
    </w:p>
    <w:p w14:paraId="4FE62C8D" w14:textId="77777777" w:rsidR="00FD41CC" w:rsidRDefault="009468E8" w:rsidP="00210E60">
      <w:pPr>
        <w:spacing w:before="80" w:after="80"/>
        <w:rPr>
          <w:color w:val="000000"/>
        </w:rPr>
      </w:pPr>
      <w:r w:rsidRPr="001F68FB">
        <w:rPr>
          <w:color w:val="000000"/>
        </w:rPr>
        <w:t xml:space="preserve">The unifying logic model follows </w:t>
      </w:r>
      <w:r w:rsidR="00210E60">
        <w:rPr>
          <w:color w:val="000000"/>
        </w:rPr>
        <w:t xml:space="preserve">a </w:t>
      </w:r>
      <w:proofErr w:type="gramStart"/>
      <w:r w:rsidRPr="001F68FB">
        <w:rPr>
          <w:color w:val="000000"/>
        </w:rPr>
        <w:t xml:space="preserve">habit </w:t>
      </w:r>
      <w:r w:rsidR="00210E60">
        <w:rPr>
          <w:color w:val="000000"/>
        </w:rPr>
        <w:t>forming</w:t>
      </w:r>
      <w:proofErr w:type="gramEnd"/>
      <w:r w:rsidR="00210E60">
        <w:rPr>
          <w:color w:val="000000"/>
        </w:rPr>
        <w:t xml:space="preserve"> </w:t>
      </w:r>
      <w:r w:rsidRPr="001F68FB">
        <w:rPr>
          <w:color w:val="000000"/>
        </w:rPr>
        <w:t xml:space="preserve">pathway: </w:t>
      </w:r>
      <w:r w:rsidRPr="00210E60">
        <w:rPr>
          <w:b/>
          <w:bCs/>
          <w:i/>
          <w:iCs/>
          <w:color w:val="000000"/>
        </w:rPr>
        <w:t>Environments → Exposure → Repetition/automaticity → Habit formation → Stabilisation</w:t>
      </w:r>
      <w:r w:rsidRPr="001F68FB">
        <w:rPr>
          <w:b/>
          <w:bCs/>
          <w:i/>
          <w:iCs/>
          <w:color w:val="000000"/>
        </w:rPr>
        <w:t>.</w:t>
      </w:r>
      <w:r w:rsidRPr="001F68FB">
        <w:rPr>
          <w:color w:val="000000"/>
        </w:rPr>
        <w:t xml:space="preserve"> </w:t>
      </w:r>
    </w:p>
    <w:p w14:paraId="055C559C" w14:textId="4C4801ED" w:rsidR="009468E8" w:rsidRPr="001F68FB" w:rsidRDefault="009468E8" w:rsidP="00210E60">
      <w:pPr>
        <w:spacing w:before="80" w:after="80"/>
      </w:pPr>
      <w:r w:rsidRPr="001F68FB">
        <w:rPr>
          <w:color w:val="000000"/>
        </w:rPr>
        <w:lastRenderedPageBreak/>
        <w:t>Interventions enter at different points in this causal chain, constituting four complementary families: (G1) Exposure shaping — preventing habit formation by reducing harmful digital cues (defaults, marketing restrictions); (G2) Friction and interruption — slowing automatic repetition through speed bumps (quiet hours, age gates, cool-off periods); (G3) Agency scaffolding — rebuilding routines via self-regulation supports and feedback (wearables, goal-setting, commitment devices); (G4) Identity and norm stabilisation — locking in gains through peer norms, co-created identities and autonomy-framed inoculation. No single family is sufficient. Z-HEALTH will be the first project to implement all four families simultaneously within the same theoretical framework, across multiple countries and NCD domains.</w:t>
      </w:r>
    </w:p>
    <w:p w14:paraId="14DA6600" w14:textId="77777777" w:rsidR="000674E9" w:rsidRDefault="000674E9" w:rsidP="009468E8">
      <w:pPr>
        <w:spacing w:before="120" w:after="40"/>
        <w:rPr>
          <w:b/>
          <w:bCs/>
          <w:color w:val="333333"/>
        </w:rPr>
      </w:pPr>
    </w:p>
    <w:p w14:paraId="424CF79F" w14:textId="795389CD" w:rsidR="009468E8" w:rsidRPr="00210E60" w:rsidRDefault="009468E8" w:rsidP="009468E8">
      <w:pPr>
        <w:spacing w:before="120" w:after="40"/>
      </w:pPr>
      <w:r w:rsidRPr="00210E60">
        <w:rPr>
          <w:b/>
          <w:bCs/>
          <w:color w:val="333333"/>
        </w:rPr>
        <w:t>The Z-HEALTH Habit Pathway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7"/>
        <w:gridCol w:w="2006"/>
        <w:gridCol w:w="2006"/>
        <w:gridCol w:w="2006"/>
        <w:gridCol w:w="2037"/>
      </w:tblGrid>
      <w:tr w:rsidR="009468E8" w:rsidRPr="00422790" w14:paraId="5FEC4DFC"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11ABBC1B" w14:textId="77777777" w:rsidR="009468E8" w:rsidRPr="00422790" w:rsidRDefault="009468E8" w:rsidP="001F3CDB">
            <w:pPr>
              <w:spacing w:before="80" w:after="20"/>
              <w:jc w:val="center"/>
            </w:pPr>
            <w:r w:rsidRPr="00422790">
              <w:rPr>
                <w:b/>
                <w:bCs/>
                <w:color w:val="FFFFFF"/>
                <w:sz w:val="18"/>
                <w:szCs w:val="18"/>
              </w:rPr>
              <w:t>ENVIRONMENTS</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045C0C0A" w14:textId="77777777" w:rsidR="009468E8" w:rsidRPr="00422790" w:rsidRDefault="009468E8" w:rsidP="001F3CDB">
            <w:pPr>
              <w:spacing w:before="80" w:after="20"/>
              <w:jc w:val="center"/>
            </w:pPr>
            <w:r w:rsidRPr="00422790">
              <w:rPr>
                <w:b/>
                <w:bCs/>
                <w:color w:val="FFFFFF"/>
                <w:sz w:val="18"/>
                <w:szCs w:val="18"/>
              </w:rPr>
              <w:t>EXPOSURE</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5A467FE6" w14:textId="77777777" w:rsidR="009468E8" w:rsidRPr="00422790" w:rsidRDefault="009468E8" w:rsidP="001F3CDB">
            <w:pPr>
              <w:spacing w:before="80" w:after="20"/>
              <w:jc w:val="center"/>
            </w:pPr>
            <w:r w:rsidRPr="00422790">
              <w:rPr>
                <w:b/>
                <w:bCs/>
                <w:color w:val="FFFFFF"/>
                <w:sz w:val="18"/>
                <w:szCs w:val="18"/>
              </w:rPr>
              <w:t>REPETITION / AUTOMATICITY</w:t>
            </w:r>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5DA57118" w14:textId="77777777" w:rsidR="009468E8" w:rsidRPr="00422790" w:rsidRDefault="009468E8" w:rsidP="001F3CDB">
            <w:pPr>
              <w:spacing w:before="80" w:after="20"/>
              <w:jc w:val="center"/>
            </w:pPr>
            <w:r w:rsidRPr="00422790">
              <w:rPr>
                <w:b/>
                <w:bCs/>
                <w:color w:val="FFFFFF"/>
                <w:sz w:val="18"/>
                <w:szCs w:val="18"/>
              </w:rPr>
              <w:t>HABIT FORMATION</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2EF09E0E" w14:textId="77777777" w:rsidR="009468E8" w:rsidRPr="00422790" w:rsidRDefault="009468E8" w:rsidP="001F3CDB">
            <w:pPr>
              <w:spacing w:before="80" w:after="20"/>
              <w:jc w:val="center"/>
            </w:pPr>
            <w:r w:rsidRPr="00422790">
              <w:rPr>
                <w:b/>
                <w:bCs/>
                <w:color w:val="FFFFFF"/>
                <w:sz w:val="18"/>
                <w:szCs w:val="18"/>
              </w:rPr>
              <w:t>STABILISATION (identity/norms)</w:t>
            </w:r>
          </w:p>
        </w:tc>
      </w:tr>
      <w:tr w:rsidR="009468E8" w:rsidRPr="00422790" w14:paraId="6F73B0D6"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0778A0A8" w14:textId="77777777" w:rsidR="009468E8" w:rsidRPr="00422790" w:rsidRDefault="009468E8" w:rsidP="001F3CDB">
            <w:pPr>
              <w:spacing w:before="20" w:after="80"/>
              <w:jc w:val="center"/>
            </w:pPr>
            <w:r w:rsidRPr="00422790">
              <w:rPr>
                <w:i/>
                <w:iCs/>
                <w:color w:val="FFFFFF"/>
                <w:sz w:val="17"/>
                <w:szCs w:val="17"/>
              </w:rPr>
              <w:t>Digital, social, institutional</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39B7F3EB" w14:textId="77777777" w:rsidR="009468E8" w:rsidRPr="00422790" w:rsidRDefault="009468E8" w:rsidP="001F3CDB">
            <w:pPr>
              <w:spacing w:before="20" w:after="80"/>
              <w:jc w:val="center"/>
            </w:pPr>
            <w:r w:rsidRPr="00422790">
              <w:rPr>
                <w:i/>
                <w:iCs/>
                <w:color w:val="FFFFFF"/>
                <w:sz w:val="17"/>
                <w:szCs w:val="17"/>
              </w:rPr>
              <w:t>Algorithms, marketing, misinformation</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611562A0" w14:textId="77777777" w:rsidR="009468E8" w:rsidRPr="00422790" w:rsidRDefault="009468E8" w:rsidP="001F3CDB">
            <w:pPr>
              <w:spacing w:before="20" w:after="80"/>
              <w:jc w:val="center"/>
            </w:pPr>
            <w:r w:rsidRPr="00422790">
              <w:rPr>
                <w:i/>
                <w:iCs/>
                <w:color w:val="FFFFFF"/>
                <w:sz w:val="17"/>
                <w:szCs w:val="17"/>
              </w:rPr>
              <w:t xml:space="preserve">Fast, frictionless, </w:t>
            </w:r>
            <w:proofErr w:type="gramStart"/>
            <w:r w:rsidRPr="00422790">
              <w:rPr>
                <w:i/>
                <w:iCs/>
                <w:color w:val="FFFFFF"/>
                <w:sz w:val="17"/>
                <w:szCs w:val="17"/>
              </w:rPr>
              <w:t>high-frequency</w:t>
            </w:r>
            <w:proofErr w:type="gramEnd"/>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0C756F51" w14:textId="77777777" w:rsidR="009468E8" w:rsidRPr="00422790" w:rsidRDefault="009468E8" w:rsidP="001F3CDB">
            <w:pPr>
              <w:spacing w:before="20" w:after="80"/>
              <w:jc w:val="center"/>
            </w:pPr>
            <w:r w:rsidRPr="00422790">
              <w:rPr>
                <w:i/>
                <w:iCs/>
                <w:color w:val="FFFFFF"/>
                <w:sz w:val="17"/>
                <w:szCs w:val="17"/>
              </w:rPr>
              <w:t>Routine, automatic, rewarding</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103C2C14" w14:textId="77777777" w:rsidR="009468E8" w:rsidRPr="00422790" w:rsidRDefault="009468E8" w:rsidP="001F3CDB">
            <w:pPr>
              <w:spacing w:before="20" w:after="80"/>
              <w:jc w:val="center"/>
            </w:pPr>
            <w:r w:rsidRPr="00422790">
              <w:rPr>
                <w:i/>
                <w:iCs/>
                <w:color w:val="FFFFFF"/>
                <w:sz w:val="17"/>
                <w:szCs w:val="17"/>
              </w:rPr>
              <w:t>Peer norms, identity, social signals</w:t>
            </w:r>
          </w:p>
        </w:tc>
      </w:tr>
      <w:tr w:rsidR="009468E8" w:rsidRPr="00422790" w14:paraId="33147D20"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453FD13" w14:textId="77777777" w:rsidR="009468E8" w:rsidRPr="00422790" w:rsidRDefault="009468E8" w:rsidP="001F3CDB">
            <w:pPr>
              <w:spacing w:before="80" w:after="80"/>
              <w:jc w:val="center"/>
            </w:pPr>
            <w:r w:rsidRPr="00422790">
              <w:rPr>
                <w:b/>
                <w:bCs/>
                <w:color w:val="1F4E79"/>
                <w:sz w:val="17"/>
                <w:szCs w:val="17"/>
              </w:rPr>
              <w:t>G1: Exposure shaping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5209AFD" w14:textId="77777777" w:rsidR="009468E8" w:rsidRPr="00422790" w:rsidRDefault="009468E8" w:rsidP="001F3CDB">
            <w:pPr>
              <w:spacing w:before="80" w:after="80"/>
              <w:jc w:val="center"/>
            </w:pPr>
            <w:r w:rsidRPr="00422790">
              <w:rPr>
                <w:b/>
                <w:bCs/>
                <w:color w:val="2E75B6"/>
                <w:sz w:val="17"/>
                <w:szCs w:val="17"/>
              </w:rPr>
              <w:t>G2: Friction &amp; interruption</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2EE6DAFD" w14:textId="77777777" w:rsidR="009468E8" w:rsidRPr="00422790" w:rsidRDefault="009468E8" w:rsidP="001F3CDB">
            <w:pPr>
              <w:spacing w:before="80" w:after="80"/>
              <w:jc w:val="center"/>
            </w:pPr>
            <w:r w:rsidRPr="00422790">
              <w:rPr>
                <w:b/>
                <w:bCs/>
                <w:color w:val="2563A8"/>
                <w:sz w:val="17"/>
                <w:szCs w:val="17"/>
              </w:rPr>
              <w:t>G3: Agency scaffolding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96BF825" w14:textId="77777777" w:rsidR="009468E8" w:rsidRPr="00422790" w:rsidRDefault="009468E8" w:rsidP="001F3CDB">
            <w:pPr>
              <w:spacing w:before="80" w:after="80"/>
              <w:jc w:val="center"/>
            </w:pPr>
            <w:r w:rsidRPr="00422790">
              <w:rPr>
                <w:b/>
                <w:bCs/>
                <w:color w:val="1E6E4A"/>
                <w:sz w:val="17"/>
                <w:szCs w:val="17"/>
              </w:rPr>
              <w:t>G4: Identity / norm stabilisation</w:t>
            </w:r>
          </w:p>
        </w:tc>
        <w:tc>
          <w:tcPr>
            <w:tcW w:w="1012"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E1B9448" w14:textId="77777777" w:rsidR="009468E8" w:rsidRPr="00422790" w:rsidRDefault="009468E8" w:rsidP="001F3CDB">
            <w:pPr>
              <w:spacing w:before="80" w:after="80"/>
              <w:jc w:val="center"/>
            </w:pPr>
            <w:r w:rsidRPr="00422790">
              <w:rPr>
                <w:b/>
                <w:bCs/>
                <w:color w:val="5B2C8B"/>
                <w:sz w:val="17"/>
                <w:szCs w:val="17"/>
              </w:rPr>
              <w:t>Policy uptake &amp; scale-out</w:t>
            </w:r>
          </w:p>
        </w:tc>
      </w:tr>
    </w:tbl>
    <w:p w14:paraId="34110EEA" w14:textId="4180AEC9" w:rsidR="009468E8" w:rsidRPr="00422790" w:rsidRDefault="009468E8" w:rsidP="009468E8">
      <w:pPr>
        <w:spacing w:before="40" w:after="100"/>
      </w:pPr>
      <w:r w:rsidRPr="00422790">
        <w:rPr>
          <w:i/>
          <w:iCs/>
          <w:color w:val="666666"/>
          <w:sz w:val="17"/>
          <w:szCs w:val="17"/>
        </w:rPr>
        <w:t>Figure 1: The Z-HEALTH habit pathway and corresponding intervention families</w:t>
      </w:r>
      <w:r w:rsidR="000674E9">
        <w:rPr>
          <w:i/>
          <w:iCs/>
          <w:color w:val="666666"/>
          <w:sz w:val="17"/>
          <w:szCs w:val="17"/>
        </w:rPr>
        <w:t xml:space="preserve"> [Source?]</w:t>
      </w:r>
    </w:p>
    <w:p w14:paraId="59F2C484" w14:textId="77777777" w:rsidR="000674E9" w:rsidRDefault="000674E9" w:rsidP="000674E9">
      <w:pPr>
        <w:pStyle w:val="Heading3"/>
        <w:ind w:left="0" w:firstLine="0"/>
      </w:pPr>
    </w:p>
    <w:p w14:paraId="34435869" w14:textId="6538A4DC" w:rsidR="00220997" w:rsidRDefault="00220997" w:rsidP="00220997">
      <w:pPr>
        <w:pStyle w:val="Heading3"/>
        <w:ind w:left="0" w:firstLine="0"/>
      </w:pPr>
      <w:r>
        <w:rPr>
          <w:rFonts w:ascii="Times New Roman" w:hAnsi="Times New Roman"/>
          <w:b/>
          <w:bCs/>
          <w:sz w:val="23"/>
          <w:szCs w:val="23"/>
        </w:rPr>
        <w:t>The G1–G4 intervention framework</w:t>
      </w:r>
    </w:p>
    <w:p w14:paraId="16A38598" w14:textId="77777777" w:rsidR="00220997" w:rsidRDefault="00220997" w:rsidP="00220997">
      <w:pPr>
        <w:spacing w:after="140" w:line="282" w:lineRule="auto"/>
        <w:jc w:val="both"/>
      </w:pPr>
      <w:r>
        <w:t xml:space="preserve">The G1–G4 framework is the </w:t>
      </w:r>
      <w:r>
        <w:rPr>
          <w:b/>
          <w:bCs/>
        </w:rPr>
        <w:t>primary organising architecture</w:t>
      </w:r>
      <w:r>
        <w:t xml:space="preserve"> of Z-HEALTH. Every work package, every study design, and every partner role is structured around these four intervention families, applied across all three disease conditions. The framework is not new in concept — it synthesises </w:t>
      </w:r>
      <w:proofErr w:type="spellStart"/>
      <w:r>
        <w:t>Miraldo's</w:t>
      </w:r>
      <w:proofErr w:type="spellEnd"/>
      <w:r>
        <w:t xml:space="preserve"> bundling logic, </w:t>
      </w:r>
      <w:proofErr w:type="spellStart"/>
      <w:r>
        <w:t>Verplanken's</w:t>
      </w:r>
      <w:proofErr w:type="spellEnd"/>
      <w:r>
        <w:t xml:space="preserve"> habit discontinuity hypothesis, and the growing literature on structural versus empowerment approaches to behaviour change — but Z-HEALTH is the first project to operationalise all four families simultaneously across multiple NCDs, multiple countries, and multiple life-stage windows.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81"/>
        <w:gridCol w:w="2103"/>
        <w:gridCol w:w="2030"/>
        <w:gridCol w:w="2187"/>
        <w:gridCol w:w="2259"/>
      </w:tblGrid>
      <w:tr w:rsidR="00220997" w14:paraId="1F965995"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847BFFA" w14:textId="77777777" w:rsidR="00220997" w:rsidRDefault="00220997" w:rsidP="001F3CDB"/>
        </w:tc>
        <w:tc>
          <w:tcPr>
            <w:tcW w:w="104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39CCACF" w14:textId="77777777" w:rsidR="00220997" w:rsidRDefault="00220997" w:rsidP="001F3CDB">
            <w:r>
              <w:rPr>
                <w:b/>
                <w:bCs/>
                <w:sz w:val="20"/>
                <w:szCs w:val="20"/>
              </w:rPr>
              <w:t>G1 — Exposure Shaping Prevent habits forming by reducing harmful digital cues</w:t>
            </w:r>
          </w:p>
        </w:tc>
        <w:tc>
          <w:tcPr>
            <w:tcW w:w="100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611D641A" w14:textId="77777777" w:rsidR="00220997" w:rsidRDefault="00220997" w:rsidP="001F3CDB">
            <w:r>
              <w:rPr>
                <w:b/>
                <w:bCs/>
                <w:sz w:val="20"/>
                <w:szCs w:val="20"/>
              </w:rPr>
              <w:t xml:space="preserve">G2 — Friction &amp; Interruption Slow automatic repetition through design </w:t>
            </w:r>
            <w:proofErr w:type="gramStart"/>
            <w:r>
              <w:rPr>
                <w:b/>
                <w:bCs/>
                <w:sz w:val="20"/>
                <w:szCs w:val="20"/>
              </w:rPr>
              <w:t>speed-bumps</w:t>
            </w:r>
            <w:proofErr w:type="gramEnd"/>
          </w:p>
        </w:tc>
        <w:tc>
          <w:tcPr>
            <w:tcW w:w="1087"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3F9631DB" w14:textId="77777777" w:rsidR="00220997" w:rsidRDefault="00220997" w:rsidP="001F3CDB">
            <w:r>
              <w:rPr>
                <w:b/>
                <w:bCs/>
                <w:sz w:val="20"/>
                <w:szCs w:val="20"/>
              </w:rPr>
              <w:t>G3 — Agency Scaffolding Rebuild routines via self-regulation, feedback, tools</w:t>
            </w:r>
          </w:p>
        </w:tc>
        <w:tc>
          <w:tcPr>
            <w:tcW w:w="112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003746E" w14:textId="77777777" w:rsidR="00220997" w:rsidRDefault="00220997" w:rsidP="001F3CDB">
            <w:r>
              <w:rPr>
                <w:b/>
                <w:bCs/>
                <w:sz w:val="20"/>
                <w:szCs w:val="20"/>
              </w:rPr>
              <w:t>G4 — Identity/Norm Stabilisation Lock in gains through peer norms and co-created identities</w:t>
            </w:r>
          </w:p>
        </w:tc>
      </w:tr>
      <w:tr w:rsidR="00220997" w14:paraId="73B31A87"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5F776C1" w14:textId="77777777" w:rsidR="00220997" w:rsidRDefault="00220997" w:rsidP="001F3CDB">
            <w:r>
              <w:rPr>
                <w:sz w:val="20"/>
                <w:szCs w:val="20"/>
              </w:rPr>
              <w:t>Agency required</w:t>
            </w:r>
          </w:p>
        </w:tc>
        <w:tc>
          <w:tcPr>
            <w:tcW w:w="1045"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193B8AB" w14:textId="77777777" w:rsidR="00220997" w:rsidRDefault="00220997" w:rsidP="001F3CDB">
            <w:r>
              <w:rPr>
                <w:sz w:val="20"/>
                <w:szCs w:val="20"/>
              </w:rPr>
              <w:t>None (structural)</w:t>
            </w:r>
          </w:p>
        </w:tc>
        <w:tc>
          <w:tcPr>
            <w:tcW w:w="1009"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7B206597" w14:textId="77777777" w:rsidR="00220997" w:rsidRDefault="00220997" w:rsidP="001F3CDB">
            <w:r>
              <w:rPr>
                <w:sz w:val="20"/>
                <w:szCs w:val="20"/>
              </w:rPr>
              <w:t>Low (design nudge)</w:t>
            </w:r>
          </w:p>
        </w:tc>
        <w:tc>
          <w:tcPr>
            <w:tcW w:w="1087"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4E63A28" w14:textId="77777777" w:rsidR="00220997" w:rsidRDefault="00220997" w:rsidP="001F3CDB">
            <w:r>
              <w:rPr>
                <w:sz w:val="20"/>
                <w:szCs w:val="20"/>
              </w:rPr>
              <w:t>Moderate (self-regulation)</w:t>
            </w:r>
          </w:p>
        </w:tc>
        <w:tc>
          <w:tcPr>
            <w:tcW w:w="1123"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F51E461" w14:textId="77777777" w:rsidR="00220997" w:rsidRDefault="00220997" w:rsidP="001F3CDB">
            <w:r>
              <w:rPr>
                <w:sz w:val="20"/>
                <w:szCs w:val="20"/>
              </w:rPr>
              <w:t>High (identity/social)</w:t>
            </w:r>
          </w:p>
        </w:tc>
      </w:tr>
      <w:tr w:rsidR="00220997" w14:paraId="7B3685B7"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390D9D36" w14:textId="77777777" w:rsidR="00220997" w:rsidRDefault="00220997" w:rsidP="001F3CDB">
            <w:r>
              <w:rPr>
                <w:sz w:val="20"/>
                <w:szCs w:val="20"/>
              </w:rPr>
              <w:t>Obesity</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54F74F" w14:textId="77777777" w:rsidR="00220997" w:rsidRDefault="00220997" w:rsidP="001F3CDB">
            <w:r>
              <w:rPr>
                <w:sz w:val="20"/>
                <w:szCs w:val="20"/>
              </w:rPr>
              <w:t>UPF marketing restrictions (DSA natural experiments); front-of-pack label defaults; school food environment redesign; smartphone ban evaluation → dietary behaviour</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A0719C" w14:textId="77777777" w:rsidR="00220997" w:rsidRDefault="00220997" w:rsidP="001F3CDB">
            <w:r>
              <w:rPr>
                <w:sz w:val="20"/>
                <w:szCs w:val="20"/>
              </w:rPr>
              <w:t>Cafeteria choice architecture (default healthy options); checkout friction in food delivery apps; quiet hours reducing late-night snacking cues</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E333455" w14:textId="77777777" w:rsidR="00220997" w:rsidRDefault="00220997" w:rsidP="001F3CDB">
            <w:r>
              <w:rPr>
                <w:sz w:val="20"/>
                <w:szCs w:val="20"/>
              </w:rPr>
              <w:t xml:space="preserve">Wearable dietary + PA self-monitoring; food transparency apps (Yuka, Open Food Facts); </w:t>
            </w:r>
            <w:proofErr w:type="gramStart"/>
            <w:r>
              <w:rPr>
                <w:sz w:val="20"/>
                <w:szCs w:val="20"/>
              </w:rPr>
              <w:t>goal-setting</w:t>
            </w:r>
            <w:proofErr w:type="gramEnd"/>
            <w:r>
              <w:rPr>
                <w:sz w:val="20"/>
                <w:szCs w:val="20"/>
              </w:rPr>
              <w:t xml:space="preserve"> + implementation intentions; incentive/commitment devices</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6B5F5E" w14:textId="77777777" w:rsidR="00220997" w:rsidRDefault="00220997" w:rsidP="001F3CDB">
            <w:r>
              <w:rPr>
                <w:sz w:val="20"/>
                <w:szCs w:val="20"/>
              </w:rPr>
              <w:t xml:space="preserve">Peer norm reinforcement for healthy food choices; </w:t>
            </w:r>
            <w:proofErr w:type="spellStart"/>
            <w:r>
              <w:rPr>
                <w:sz w:val="20"/>
                <w:szCs w:val="20"/>
              </w:rPr>
              <w:t>prebunking</w:t>
            </w:r>
            <w:proofErr w:type="spellEnd"/>
            <w:r>
              <w:rPr>
                <w:sz w:val="20"/>
                <w:szCs w:val="20"/>
              </w:rPr>
              <w:t>/inoculation against UPF marketing manipulation; co-created food norms with youth cohorts</w:t>
            </w:r>
          </w:p>
        </w:tc>
      </w:tr>
      <w:tr w:rsidR="00220997" w14:paraId="0092C9C6"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75B4C53F" w14:textId="77777777" w:rsidR="00220997" w:rsidRDefault="00220997" w:rsidP="001F3CDB">
            <w:r>
              <w:rPr>
                <w:sz w:val="20"/>
                <w:szCs w:val="20"/>
              </w:rPr>
              <w:t>Mental Health Diseases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300072F" w14:textId="77777777" w:rsidR="00220997" w:rsidRDefault="00220997" w:rsidP="001F3CDB">
            <w:r>
              <w:rPr>
                <w:sz w:val="20"/>
                <w:szCs w:val="20"/>
              </w:rPr>
              <w:t xml:space="preserve">Platform sleep-mode defaults; notification batch architecture; smartphone/social media ban evaluation → sleep quality, </w:t>
            </w:r>
            <w:r>
              <w:rPr>
                <w:sz w:val="20"/>
                <w:szCs w:val="20"/>
              </w:rPr>
              <w:lastRenderedPageBreak/>
              <w:t>depression/anxiety; pagination disrupting body-image social comparison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20754F" w14:textId="77777777" w:rsidR="00220997" w:rsidRDefault="00220997" w:rsidP="001F3CDB">
            <w:r>
              <w:rPr>
                <w:sz w:val="20"/>
                <w:szCs w:val="20"/>
              </w:rPr>
              <w:lastRenderedPageBreak/>
              <w:t xml:space="preserve">Screen-time self-monitoring + CBT-I combined package; platform sleep-mode tools vs. third-party blockers (Opal RCT); </w:t>
            </w:r>
            <w:r>
              <w:rPr>
                <w:sz w:val="20"/>
                <w:szCs w:val="20"/>
              </w:rPr>
              <w:lastRenderedPageBreak/>
              <w:t>once-daily notification batching</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412C5F" w14:textId="77777777" w:rsidR="00220997" w:rsidRDefault="00220997" w:rsidP="001F3CDB">
            <w:r>
              <w:rPr>
                <w:sz w:val="20"/>
                <w:szCs w:val="20"/>
              </w:rPr>
              <w:lastRenderedPageBreak/>
              <w:t>Computerised CBT (</w:t>
            </w:r>
            <w:proofErr w:type="spellStart"/>
            <w:r>
              <w:rPr>
                <w:sz w:val="20"/>
                <w:szCs w:val="20"/>
              </w:rPr>
              <w:t>cCBT</w:t>
            </w:r>
            <w:proofErr w:type="spellEnd"/>
            <w:r>
              <w:rPr>
                <w:sz w:val="20"/>
                <w:szCs w:val="20"/>
              </w:rPr>
              <w:t xml:space="preserve">) for anxiety/depression; wearable sleep monitoring + feedback; mindfulness apps </w:t>
            </w:r>
            <w:r>
              <w:rPr>
                <w:sz w:val="20"/>
                <w:szCs w:val="20"/>
              </w:rPr>
              <w:lastRenderedPageBreak/>
              <w:t>(validated protocols); transition-timed CBT-I deployment</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4FF5BA" w14:textId="77777777" w:rsidR="00220997" w:rsidRDefault="00220997" w:rsidP="001F3CDB">
            <w:r>
              <w:rPr>
                <w:sz w:val="20"/>
                <w:szCs w:val="20"/>
              </w:rPr>
              <w:lastRenderedPageBreak/>
              <w:t>Co-created mental health help-seeking norms; inoculation against social comparison and body-image triggers; peer support network design</w:t>
            </w:r>
          </w:p>
        </w:tc>
      </w:tr>
      <w:tr w:rsidR="00220997" w14:paraId="40098353"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1A53654F" w14:textId="77777777" w:rsidR="00220997" w:rsidRDefault="00220997" w:rsidP="001F3CDB">
            <w:r>
              <w:rPr>
                <w:sz w:val="20"/>
                <w:szCs w:val="20"/>
              </w:rPr>
              <w:t>Addictions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C6239E8" w14:textId="77777777" w:rsidR="00220997" w:rsidRDefault="00220997" w:rsidP="001F3CDB">
            <w:r>
              <w:rPr>
                <w:sz w:val="20"/>
                <w:szCs w:val="20"/>
              </w:rPr>
              <w:t>Gambling/vaping advertising restriction evaluation (DSA/AVMSD compliance across ≥3 EU countries); age-gate enforcement at digital point of exposure; influencer content regulation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542CB9" w14:textId="77777777" w:rsidR="00220997" w:rsidRDefault="00220997" w:rsidP="001F3CDB">
            <w:r>
              <w:rPr>
                <w:sz w:val="20"/>
                <w:szCs w:val="20"/>
              </w:rPr>
              <w:t>Mandatory cool-off/reflection prompts in gambling apps; temporary self-exclusion tools; vaping device usage friction; reduced autoplay in addiction-promoting content</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447036" w14:textId="77777777" w:rsidR="00220997" w:rsidRDefault="00220997" w:rsidP="001F3CDB">
            <w:r>
              <w:rPr>
                <w:sz w:val="20"/>
                <w:szCs w:val="20"/>
              </w:rPr>
              <w:t>e-Brief interventions (e-BI) + personalised normative feedback for alcohol (ages 18–25; Kaner et al. Cochrane base); digital CBT for substance use; vaping/gaming self-monitoring</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B91B640" w14:textId="77777777" w:rsidR="00220997" w:rsidRDefault="00220997" w:rsidP="001F3CDB">
            <w:r>
              <w:rPr>
                <w:sz w:val="20"/>
                <w:szCs w:val="20"/>
              </w:rPr>
              <w:t xml:space="preserve">Peer norm campaigns against vaping/gambling initiation; identity-based </w:t>
            </w:r>
            <w:proofErr w:type="spellStart"/>
            <w:r>
              <w:rPr>
                <w:sz w:val="20"/>
                <w:szCs w:val="20"/>
              </w:rPr>
              <w:t>prebunking</w:t>
            </w:r>
            <w:proofErr w:type="spellEnd"/>
            <w:r>
              <w:rPr>
                <w:sz w:val="20"/>
                <w:szCs w:val="20"/>
              </w:rPr>
              <w:t xml:space="preserve"> against addiction marketing; community-level norm activation</w:t>
            </w:r>
          </w:p>
        </w:tc>
      </w:tr>
    </w:tbl>
    <w:p w14:paraId="47FFEB55" w14:textId="77777777" w:rsidR="00220997" w:rsidRDefault="00220997" w:rsidP="00220997">
      <w:pPr>
        <w:spacing w:after="140" w:line="282" w:lineRule="auto"/>
        <w:jc w:val="both"/>
      </w:pPr>
      <w:r>
        <w:rPr>
          <w:sz w:val="18"/>
          <w:szCs w:val="18"/>
        </w:rPr>
        <w:t>Table 1. G1–G4 intervention families mapped across the three disease conditions. All interventions are evidence-based at TRL ≥5 at project entry. Full TRL table in Section 1.1.4.</w:t>
      </w:r>
    </w:p>
    <w:p w14:paraId="09B2500A" w14:textId="77777777" w:rsidR="00F932DF" w:rsidRDefault="00F932DF" w:rsidP="000674E9">
      <w:pPr>
        <w:pStyle w:val="Heading3"/>
        <w:ind w:left="0" w:firstLine="0"/>
        <w:rPr>
          <w:rFonts w:ascii="Times New Roman" w:hAnsi="Times New Roman"/>
          <w:b/>
          <w:bCs/>
          <w:sz w:val="26"/>
          <w:szCs w:val="26"/>
        </w:rPr>
      </w:pPr>
    </w:p>
    <w:p w14:paraId="195BC67B" w14:textId="77777777" w:rsidR="009468E8" w:rsidRPr="007835AE" w:rsidRDefault="009468E8" w:rsidP="000674E9">
      <w:pPr>
        <w:pStyle w:val="Heading3"/>
        <w:ind w:left="0" w:firstLine="0"/>
        <w:rPr>
          <w:rFonts w:ascii="Times New Roman" w:hAnsi="Times New Roman"/>
          <w:b/>
          <w:bCs/>
          <w:sz w:val="26"/>
          <w:szCs w:val="26"/>
        </w:rPr>
      </w:pPr>
      <w:r w:rsidRPr="007835AE">
        <w:rPr>
          <w:rFonts w:ascii="Times New Roman" w:hAnsi="Times New Roman"/>
          <w:b/>
          <w:bCs/>
          <w:sz w:val="26"/>
          <w:szCs w:val="26"/>
        </w:rPr>
        <w:t>Beyond the state of the art</w:t>
      </w:r>
    </w:p>
    <w:p w14:paraId="248D68A6" w14:textId="77777777" w:rsidR="004D0667" w:rsidRDefault="004D0667" w:rsidP="004D0667">
      <w:pPr>
        <w:spacing w:after="140" w:line="282" w:lineRule="auto"/>
        <w:jc w:val="both"/>
      </w:pPr>
      <w:r>
        <w:rPr>
          <w:b/>
          <w:bCs/>
        </w:rPr>
        <w:t xml:space="preserve">First, integration of three disease conditions within one framework. </w:t>
      </w:r>
      <w:r>
        <w:t>No prior project has simultaneously targeted obesity-as-disease, mental health diseases as a family, and addictions-as-disease within a single causal model and intervention architecture. The shared digital habit-formation pathway means cross-disease synergies are theoretically predicted and empirically testable — and Z-HEALTH is the first project to test them.</w:t>
      </w:r>
    </w:p>
    <w:p w14:paraId="5FF46ED0" w14:textId="77777777" w:rsidR="004D0667" w:rsidRDefault="004D0667" w:rsidP="004D0667">
      <w:pPr>
        <w:spacing w:after="140" w:line="282" w:lineRule="auto"/>
        <w:jc w:val="both"/>
      </w:pPr>
      <w:r>
        <w:rPr>
          <w:b/>
          <w:bCs/>
        </w:rPr>
        <w:t xml:space="preserve">Second, the G1–G4 bundle architecture across the full agency spectrum. </w:t>
      </w:r>
      <w:r>
        <w:t>The NCD prevention literature is divided between regulatory/structural interventions and individual empowerment interventions, with the equity consequences of this split poorly understood. No prior project has simultaneously implemented all four G-families within the same theoretical framework. The pre-specified primary equity analysis of bundled versus unbundled interventions is a first.</w:t>
      </w:r>
    </w:p>
    <w:p w14:paraId="3F4BF87B" w14:textId="77777777" w:rsidR="004D0667" w:rsidRDefault="004D0667" w:rsidP="004D0667">
      <w:pPr>
        <w:spacing w:after="140" w:line="282" w:lineRule="auto"/>
        <w:jc w:val="both"/>
      </w:pPr>
      <w:r>
        <w:rPr>
          <w:b/>
          <w:bCs/>
        </w:rPr>
        <w:t xml:space="preserve">Third, life-course transition targeting. </w:t>
      </w:r>
      <w:r>
        <w:t xml:space="preserve">Z-HEALTH operationalises life-course transitions (ages 12–15, 15–18, 18–25) as planned effect modifiers grounded in </w:t>
      </w:r>
      <w:proofErr w:type="spellStart"/>
      <w:r>
        <w:t>Verplanken</w:t>
      </w:r>
      <w:proofErr w:type="spellEnd"/>
      <w:r>
        <w:t xml:space="preserve"> &amp; Roy's Habit Discontinuity Hypothesis</w:t>
      </w:r>
      <w:r>
        <w:rPr>
          <w:vertAlign w:val="superscript"/>
        </w:rPr>
        <w:t>17</w:t>
      </w:r>
      <w:r>
        <w:t xml:space="preserve"> and Lally et al.'s finding that habits form in as few as 66 days.</w:t>
      </w:r>
      <w:r>
        <w:rPr>
          <w:vertAlign w:val="superscript"/>
        </w:rPr>
        <w:t>18</w:t>
      </w:r>
      <w:r>
        <w:t xml:space="preserve"> Z-HEALTH is the first project to exploit the ~3-month disruption window simultaneously across multiple transitions, multiple countries, and multiple NCD domains.</w:t>
      </w:r>
    </w:p>
    <w:p w14:paraId="60885522" w14:textId="77777777" w:rsidR="004D0667" w:rsidRDefault="004D0667" w:rsidP="004D0667">
      <w:pPr>
        <w:spacing w:after="140" w:line="282" w:lineRule="auto"/>
        <w:jc w:val="both"/>
      </w:pPr>
      <w:r>
        <w:rPr>
          <w:b/>
          <w:bCs/>
        </w:rPr>
        <w:t xml:space="preserve">Fourth, evaluation of the digital regulatory natural experiments. </w:t>
      </w:r>
      <w:r>
        <w:t>France, the UK, Australia, and Norway have created the largest natural experiments in youth digital environment modification ever conducted. None has been evaluated for downstream NCD outcomes. Z-HEALTH's consortium spans countries with different and staggered implementation timelines, enabling quasi-experimental evaluation using difference-in-differences designs that will generate first-in-field causal evidence on the NCD consequences of macro-level digital regulation.</w:t>
      </w:r>
    </w:p>
    <w:p w14:paraId="6936DA02" w14:textId="77777777" w:rsidR="004D0667" w:rsidRDefault="004D0667" w:rsidP="004D0667">
      <w:pPr>
        <w:spacing w:after="140" w:line="282" w:lineRule="auto"/>
        <w:jc w:val="both"/>
      </w:pPr>
      <w:r>
        <w:rPr>
          <w:b/>
          <w:bCs/>
        </w:rPr>
        <w:t xml:space="preserve">Fifth, Health-GPS policy simulation and ISINNOVA foresight. </w:t>
      </w:r>
      <w:r>
        <w:t xml:space="preserve">Imperial College's Centre for Health Economics &amp; Policy Innovation (CHEPI) will use the </w:t>
      </w:r>
      <w:proofErr w:type="gramStart"/>
      <w:r>
        <w:t>Health</w:t>
      </w:r>
      <w:proofErr w:type="gramEnd"/>
      <w:r>
        <w:t>-GPS open-source microsimulation platform to project the 10-year disease burden reduction achievable through scaling Z-HEALTH's most effective interventions — translating trial evidence into the population-level estimates that health ministries need to make investment decisions. ISINNOVA's structured foresight work will produce 2035 scenarios for youth NCD digital exposure that ensure recommendations remain relevant as digital environments continue to evolve.</w:t>
      </w:r>
    </w:p>
    <w:p w14:paraId="0DD60EA6" w14:textId="7D09A593" w:rsidR="009468E8" w:rsidRDefault="009468E8" w:rsidP="00C9389F">
      <w:pPr>
        <w:pStyle w:val="Heading3"/>
        <w:ind w:left="0" w:firstLine="0"/>
        <w:rPr>
          <w:rFonts w:ascii="Times New Roman" w:hAnsi="Times New Roman"/>
          <w:b/>
          <w:bCs/>
          <w:sz w:val="26"/>
          <w:szCs w:val="26"/>
        </w:rPr>
      </w:pPr>
      <w:r w:rsidRPr="00C064B9">
        <w:rPr>
          <w:rFonts w:ascii="Times New Roman" w:hAnsi="Times New Roman"/>
          <w:b/>
          <w:bCs/>
          <w:sz w:val="26"/>
          <w:szCs w:val="26"/>
        </w:rPr>
        <w:lastRenderedPageBreak/>
        <w:t>References</w:t>
      </w:r>
    </w:p>
    <w:p w14:paraId="6AE78CA9" w14:textId="77777777" w:rsidR="009F3501" w:rsidRDefault="009F3501" w:rsidP="009F3501">
      <w:pPr>
        <w:spacing w:after="140" w:line="282" w:lineRule="auto"/>
        <w:jc w:val="both"/>
      </w:pPr>
      <w:r>
        <w:t>1. Sawyer SM et al. Adolescence: a foundation for future health. Lancet. 2012;379(9826):1630–1640. doi:10.1016/S0140-6736(12)60072-5 [PMID:22538178]</w:t>
      </w:r>
    </w:p>
    <w:p w14:paraId="500C19CB" w14:textId="77777777" w:rsidR="009F3501" w:rsidRPr="00AB3028" w:rsidRDefault="009F3501" w:rsidP="009F3501">
      <w:pPr>
        <w:spacing w:after="140" w:line="282" w:lineRule="auto"/>
        <w:jc w:val="both"/>
        <w:rPr>
          <w:lang w:val="pt-PT"/>
        </w:rPr>
      </w:pPr>
      <w:r>
        <w:t xml:space="preserve">2. </w:t>
      </w:r>
      <w:proofErr w:type="spellStart"/>
      <w:r>
        <w:t>Buoncristiano</w:t>
      </w:r>
      <w:proofErr w:type="spellEnd"/>
      <w:r>
        <w:t xml:space="preserve"> M et al. Childhood overweight and obesity in Europe: Changes from 2007 to 2017. </w:t>
      </w:r>
      <w:proofErr w:type="spellStart"/>
      <w:r w:rsidRPr="00AB3028">
        <w:rPr>
          <w:lang w:val="pt-PT"/>
        </w:rPr>
        <w:t>Obesity</w:t>
      </w:r>
      <w:proofErr w:type="spellEnd"/>
      <w:r w:rsidRPr="00AB3028">
        <w:rPr>
          <w:lang w:val="pt-PT"/>
        </w:rPr>
        <w:t xml:space="preserve"> </w:t>
      </w:r>
      <w:proofErr w:type="spellStart"/>
      <w:r w:rsidRPr="00AB3028">
        <w:rPr>
          <w:lang w:val="pt-PT"/>
        </w:rPr>
        <w:t>Reviews</w:t>
      </w:r>
      <w:proofErr w:type="spellEnd"/>
      <w:r w:rsidRPr="00AB3028">
        <w:rPr>
          <w:lang w:val="pt-PT"/>
        </w:rPr>
        <w:t>. 2021;22(S6</w:t>
      </w:r>
      <w:proofErr w:type="gramStart"/>
      <w:r w:rsidRPr="00AB3028">
        <w:rPr>
          <w:lang w:val="pt-PT"/>
        </w:rPr>
        <w:t>):e</w:t>
      </w:r>
      <w:proofErr w:type="gramEnd"/>
      <w:r w:rsidRPr="00AB3028">
        <w:rPr>
          <w:lang w:val="pt-PT"/>
        </w:rPr>
        <w:t>13226. doi:10.1111/obr.13226 [PMID:34378305]</w:t>
      </w:r>
    </w:p>
    <w:p w14:paraId="7B4657E2" w14:textId="77777777" w:rsidR="009F3501" w:rsidRPr="00AB3028" w:rsidRDefault="009F3501" w:rsidP="009F3501">
      <w:pPr>
        <w:spacing w:after="140" w:line="282" w:lineRule="auto"/>
        <w:jc w:val="both"/>
        <w:rPr>
          <w:lang w:val="pt-PT"/>
        </w:rPr>
      </w:pPr>
      <w:r w:rsidRPr="00AB3028">
        <w:rPr>
          <w:lang w:val="pt-PT"/>
        </w:rPr>
        <w:t xml:space="preserve">3. Garrido-Miguel M </w:t>
      </w:r>
      <w:proofErr w:type="spellStart"/>
      <w:r w:rsidRPr="00AB3028">
        <w:rPr>
          <w:lang w:val="pt-PT"/>
        </w:rPr>
        <w:t>et</w:t>
      </w:r>
      <w:proofErr w:type="spellEnd"/>
      <w:r w:rsidRPr="00AB3028">
        <w:rPr>
          <w:lang w:val="pt-PT"/>
        </w:rPr>
        <w:t xml:space="preserve"> al. </w:t>
      </w:r>
      <w:r>
        <w:t xml:space="preserve">Prevalence and Trends of Overweight and Obesity in European Children From 1999 to 2016: A Systematic Review and Meta-analysis. </w:t>
      </w:r>
      <w:r w:rsidRPr="00AB3028">
        <w:rPr>
          <w:lang w:val="pt-PT"/>
        </w:rPr>
        <w:t xml:space="preserve">JAMA </w:t>
      </w:r>
      <w:proofErr w:type="spellStart"/>
      <w:r w:rsidRPr="00AB3028">
        <w:rPr>
          <w:lang w:val="pt-PT"/>
        </w:rPr>
        <w:t>Pediatrics</w:t>
      </w:r>
      <w:proofErr w:type="spellEnd"/>
      <w:r w:rsidRPr="00AB3028">
        <w:rPr>
          <w:lang w:val="pt-PT"/>
        </w:rPr>
        <w:t>. 2019;173(10</w:t>
      </w:r>
      <w:proofErr w:type="gramStart"/>
      <w:r w:rsidRPr="00AB3028">
        <w:rPr>
          <w:lang w:val="pt-PT"/>
        </w:rPr>
        <w:t>):e</w:t>
      </w:r>
      <w:proofErr w:type="gramEnd"/>
      <w:r w:rsidRPr="00AB3028">
        <w:rPr>
          <w:lang w:val="pt-PT"/>
        </w:rPr>
        <w:t>192430. doi:10.1001/jamapediatrics.2019.2430 [PMID:31381031]</w:t>
      </w:r>
    </w:p>
    <w:p w14:paraId="54A682D2" w14:textId="77777777" w:rsidR="009F3501" w:rsidRDefault="009F3501" w:rsidP="009F3501">
      <w:pPr>
        <w:spacing w:after="140" w:line="282" w:lineRule="auto"/>
        <w:jc w:val="both"/>
      </w:pPr>
      <w:r w:rsidRPr="00AB3028">
        <w:rPr>
          <w:lang w:val="pt-PT"/>
        </w:rPr>
        <w:t xml:space="preserve">4. Monteiro CA </w:t>
      </w:r>
      <w:proofErr w:type="spellStart"/>
      <w:r w:rsidRPr="00AB3028">
        <w:rPr>
          <w:lang w:val="pt-PT"/>
        </w:rPr>
        <w:t>et</w:t>
      </w:r>
      <w:proofErr w:type="spellEnd"/>
      <w:r w:rsidRPr="00AB3028">
        <w:rPr>
          <w:lang w:val="pt-PT"/>
        </w:rPr>
        <w:t xml:space="preserve"> al. </w:t>
      </w:r>
      <w:r>
        <w:t>Ultra-processed foods: what they are and how to identify them. Public Health Nutrition. 2019;22(5):936–941. doi:10.1017/S1368980018003762</w:t>
      </w:r>
    </w:p>
    <w:p w14:paraId="12F58696" w14:textId="77777777" w:rsidR="009F3501" w:rsidRDefault="009F3501" w:rsidP="009F3501">
      <w:pPr>
        <w:spacing w:after="140" w:line="282" w:lineRule="auto"/>
        <w:jc w:val="both"/>
      </w:pPr>
      <w:r>
        <w:t xml:space="preserve">5. </w:t>
      </w:r>
      <w:proofErr w:type="spellStart"/>
      <w:r>
        <w:t>Castelpietra</w:t>
      </w:r>
      <w:proofErr w:type="spellEnd"/>
      <w:r>
        <w:t xml:space="preserve"> G et al. The burden of mental disorders, substance use disorders and self-harm among young people in Europe, 1990–2019: Findings from the Global Burden of Disease Study 2019. Lancet Regional Health – Europe. </w:t>
      </w:r>
      <w:proofErr w:type="gramStart"/>
      <w:r>
        <w:t>2022;16:100341</w:t>
      </w:r>
      <w:proofErr w:type="gramEnd"/>
      <w:r>
        <w:t xml:space="preserve">. </w:t>
      </w:r>
      <w:proofErr w:type="gramStart"/>
      <w:r>
        <w:t>doi:10.1016/j.lanepe</w:t>
      </w:r>
      <w:proofErr w:type="gramEnd"/>
      <w:r>
        <w:t>.2022.100341 [PMID:35392452]</w:t>
      </w:r>
    </w:p>
    <w:p w14:paraId="7038E93A" w14:textId="77777777" w:rsidR="009F3501" w:rsidRDefault="009F3501" w:rsidP="009F3501">
      <w:pPr>
        <w:spacing w:after="140" w:line="282" w:lineRule="auto"/>
        <w:jc w:val="both"/>
      </w:pPr>
      <w:r>
        <w:t>6. McGorry PD et al. The Lancet Psychiatry Commission on youth mental health. Lancet Psychiatry. 2024;11(9):731–774. doi:10.1016/S2215-0366(24)00163-9 [PMID:39147461]</w:t>
      </w:r>
    </w:p>
    <w:p w14:paraId="525853E0" w14:textId="77777777" w:rsidR="009F3501" w:rsidRDefault="009F3501" w:rsidP="009F3501">
      <w:pPr>
        <w:spacing w:after="140" w:line="282" w:lineRule="auto"/>
        <w:jc w:val="both"/>
      </w:pPr>
      <w:r>
        <w:t xml:space="preserve">7. Carter B et al. Association Between Portable Screen-Based Media Device Access or Use and Sleep Outcomes: A Systematic Review and Meta-analysis. JAMA </w:t>
      </w:r>
      <w:proofErr w:type="spellStart"/>
      <w:r>
        <w:t>Pediatrics</w:t>
      </w:r>
      <w:proofErr w:type="spellEnd"/>
      <w:r>
        <w:t>. 2016;170(12):1202–1208. doi:10.1001/jamapediatrics.2016.2341 [PMID:27802500]</w:t>
      </w:r>
    </w:p>
    <w:p w14:paraId="21969151" w14:textId="77777777" w:rsidR="009F3501" w:rsidRDefault="009F3501" w:rsidP="009F3501">
      <w:pPr>
        <w:spacing w:after="140" w:line="282" w:lineRule="auto"/>
        <w:jc w:val="both"/>
      </w:pPr>
      <w:r>
        <w:t>8. WHO Regional Office for Europe. WHO European Region has the highest rate of tobacco use in the world, with an alarming rise in young people using e-cigarettes. 2025. Available at: https://www.who.int/europe/news/item/08-10-2025</w:t>
      </w:r>
    </w:p>
    <w:p w14:paraId="28519B35" w14:textId="77777777" w:rsidR="009F3501" w:rsidRDefault="009F3501" w:rsidP="009F3501">
      <w:pPr>
        <w:spacing w:after="140" w:line="282" w:lineRule="auto"/>
        <w:jc w:val="both"/>
      </w:pPr>
      <w:r>
        <w:t xml:space="preserve">9. Tarasenko Y et al. </w:t>
      </w:r>
      <w:proofErr w:type="gramStart"/>
      <w:r>
        <w:t>Electronic</w:t>
      </w:r>
      <w:proofErr w:type="gramEnd"/>
      <w:r>
        <w:t xml:space="preserve"> cigarette use among adolescents in 17 European study sites: findings from the Global Youth Tobacco Survey. European Journal of Public Health. 2022;32(S1</w:t>
      </w:r>
      <w:proofErr w:type="gramStart"/>
      <w:r>
        <w:t>):i</w:t>
      </w:r>
      <w:proofErr w:type="gramEnd"/>
      <w:r>
        <w:t>51–i56. [PMID:34694383]</w:t>
      </w:r>
    </w:p>
    <w:p w14:paraId="5DBBFE5E" w14:textId="77777777" w:rsidR="009F3501" w:rsidRDefault="009F3501" w:rsidP="009F3501">
      <w:pPr>
        <w:spacing w:after="140" w:line="282" w:lineRule="auto"/>
        <w:jc w:val="both"/>
      </w:pPr>
      <w:r>
        <w:t>10. Calado F, Alexandre J, Griffiths MD. Prevalence of Adolescent Problem Gambling: A Systematic Review of Recent Research. Journal of Gambling Studies. 2017;33(2):397–424. doi:10.1007/s10899-016-9627-5 [PMID:27372832]</w:t>
      </w:r>
    </w:p>
    <w:p w14:paraId="101A4C3F" w14:textId="77777777" w:rsidR="009F3501" w:rsidRDefault="009F3501" w:rsidP="009F3501">
      <w:pPr>
        <w:spacing w:after="140" w:line="282" w:lineRule="auto"/>
        <w:jc w:val="both"/>
      </w:pPr>
      <w:r>
        <w:t xml:space="preserve">11. Boyland EJ et al. Association of Food and </w:t>
      </w:r>
      <w:proofErr w:type="spellStart"/>
      <w:r>
        <w:t>Nonalcoholic</w:t>
      </w:r>
      <w:proofErr w:type="spellEnd"/>
      <w:r>
        <w:t xml:space="preserve"> Beverage Marketing </w:t>
      </w:r>
      <w:proofErr w:type="gramStart"/>
      <w:r>
        <w:t>With</w:t>
      </w:r>
      <w:proofErr w:type="gramEnd"/>
      <w:r>
        <w:t xml:space="preserve"> Children and Adolescents' Eating </w:t>
      </w:r>
      <w:proofErr w:type="spellStart"/>
      <w:r>
        <w:t>Behaviors</w:t>
      </w:r>
      <w:proofErr w:type="spellEnd"/>
      <w:r>
        <w:t xml:space="preserve"> and Health: A Systematic Review and Meta-analysis. JAMA </w:t>
      </w:r>
      <w:proofErr w:type="spellStart"/>
      <w:r>
        <w:t>Pediatrics</w:t>
      </w:r>
      <w:proofErr w:type="spellEnd"/>
      <w:r>
        <w:t>. 2022;176(7</w:t>
      </w:r>
      <w:proofErr w:type="gramStart"/>
      <w:r>
        <w:t>):e</w:t>
      </w:r>
      <w:proofErr w:type="gramEnd"/>
      <w:r>
        <w:t>221037. doi:10.1001/jamapediatrics.2022.1037 [PMID:35499839]</w:t>
      </w:r>
    </w:p>
    <w:p w14:paraId="5BEBB62C" w14:textId="77777777" w:rsidR="009F3501" w:rsidRDefault="009F3501" w:rsidP="009F3501">
      <w:pPr>
        <w:spacing w:after="140" w:line="282" w:lineRule="auto"/>
        <w:jc w:val="both"/>
      </w:pPr>
      <w:r>
        <w:t>12. Bragg MA et al. Marketing alcoholic beverages to young adults on social media: a content analysis. Journal of Medical Internet Research. 2021;23(10</w:t>
      </w:r>
      <w:proofErr w:type="gramStart"/>
      <w:r>
        <w:t>):e</w:t>
      </w:r>
      <w:proofErr w:type="gramEnd"/>
      <w:r>
        <w:t>28689. doi:10.2196/28689 [PMID:34677136]</w:t>
      </w:r>
    </w:p>
    <w:p w14:paraId="7CB8930B" w14:textId="77777777" w:rsidR="009F3501" w:rsidRDefault="009F3501" w:rsidP="009F3501">
      <w:pPr>
        <w:spacing w:after="140" w:line="282" w:lineRule="auto"/>
        <w:jc w:val="both"/>
      </w:pPr>
      <w:r>
        <w:t xml:space="preserve">13. Montiel I et al. Problematic online gambling among adolescents: A systematic review about prevalence and related measurement issues. Journal of </w:t>
      </w:r>
      <w:proofErr w:type="spellStart"/>
      <w:r>
        <w:t>Behavioral</w:t>
      </w:r>
      <w:proofErr w:type="spellEnd"/>
      <w:r>
        <w:t xml:space="preserve"> Addictions. 2021;10(3):566–586. [PMID:34550906]</w:t>
      </w:r>
    </w:p>
    <w:p w14:paraId="4FEDFDC3" w14:textId="77777777" w:rsidR="009F3501" w:rsidRDefault="009F3501" w:rsidP="009F3501">
      <w:pPr>
        <w:spacing w:after="140" w:line="282" w:lineRule="auto"/>
        <w:jc w:val="both"/>
      </w:pPr>
      <w:r>
        <w:t>14. Suarez-Lledo V &amp; Alvarez-Galvez J. Prevalence of Health Misinformation on Social Media: Systematic Review. Journal of Medical Internet Research. 2021;23(1</w:t>
      </w:r>
      <w:proofErr w:type="gramStart"/>
      <w:r>
        <w:t>):e</w:t>
      </w:r>
      <w:proofErr w:type="gramEnd"/>
      <w:r>
        <w:t>17187. doi:10.2196/17187 [PMID:33470931]</w:t>
      </w:r>
    </w:p>
    <w:p w14:paraId="782D09EA" w14:textId="77777777" w:rsidR="009F3501" w:rsidRDefault="009F3501" w:rsidP="009F3501">
      <w:pPr>
        <w:spacing w:after="140" w:line="282" w:lineRule="auto"/>
        <w:jc w:val="both"/>
      </w:pPr>
      <w:r>
        <w:lastRenderedPageBreak/>
        <w:t>15. Twenge JM, Haidt J, Joiner TE, Campbell WK. Underestimating digital media harm. Nature Human Behaviour. 2020;4(4):346–348. doi:10.1038/s41562-020-0839-4 [PMID:32303719]</w:t>
      </w:r>
    </w:p>
    <w:p w14:paraId="72E23B4F" w14:textId="77777777" w:rsidR="009F3501" w:rsidRDefault="009F3501" w:rsidP="009F3501">
      <w:pPr>
        <w:spacing w:after="140" w:line="282" w:lineRule="auto"/>
        <w:jc w:val="both"/>
      </w:pPr>
      <w:r>
        <w:t xml:space="preserve">16. Orben A, Przybylski AK, Blakemore S-J, Kievit RA. Windows of developmental sensitivity to social media. Nature Communications. </w:t>
      </w:r>
      <w:proofErr w:type="gramStart"/>
      <w:r>
        <w:t>2022;13:1649</w:t>
      </w:r>
      <w:proofErr w:type="gramEnd"/>
      <w:r>
        <w:t>. doi:10.1038/s41467-022-29296-3</w:t>
      </w:r>
    </w:p>
    <w:p w14:paraId="6C0A35B7" w14:textId="77777777" w:rsidR="009F3501" w:rsidRDefault="009F3501" w:rsidP="009F3501">
      <w:pPr>
        <w:spacing w:after="140" w:line="282" w:lineRule="auto"/>
        <w:jc w:val="both"/>
      </w:pPr>
      <w:r>
        <w:t xml:space="preserve">17. </w:t>
      </w:r>
      <w:proofErr w:type="spellStart"/>
      <w:r>
        <w:t>Verplanken</w:t>
      </w:r>
      <w:proofErr w:type="spellEnd"/>
      <w:r>
        <w:t xml:space="preserve"> B &amp; Roy D. Empowering interventions to promote sustainable lifestyles. Journal of Environmental Psychology. </w:t>
      </w:r>
      <w:proofErr w:type="gramStart"/>
      <w:r>
        <w:t>2016;45:163</w:t>
      </w:r>
      <w:proofErr w:type="gramEnd"/>
      <w:r>
        <w:t xml:space="preserve">–174. </w:t>
      </w:r>
      <w:proofErr w:type="gramStart"/>
      <w:r>
        <w:t>doi:10.1016/j.jep</w:t>
      </w:r>
      <w:proofErr w:type="gramEnd"/>
      <w:r>
        <w:t>.2016.01.001</w:t>
      </w:r>
    </w:p>
    <w:p w14:paraId="5EBB9C99" w14:textId="77777777" w:rsidR="009F3501" w:rsidRDefault="009F3501" w:rsidP="009F3501">
      <w:pPr>
        <w:spacing w:after="140" w:line="282" w:lineRule="auto"/>
        <w:jc w:val="both"/>
      </w:pPr>
      <w:r>
        <w:t>18. Lally P et al. How are habits formed: Modelling habit formation in the real world. European Journal of Social Psychology. 2010;40(6):998–1009. doi:10.1002/ejsp.674</w:t>
      </w:r>
    </w:p>
    <w:p w14:paraId="5E7381CE" w14:textId="77777777" w:rsidR="009F3501" w:rsidRDefault="009F3501" w:rsidP="009F3501">
      <w:pPr>
        <w:spacing w:after="140" w:line="282" w:lineRule="auto"/>
        <w:jc w:val="both"/>
      </w:pPr>
      <w:r>
        <w:t xml:space="preserve">19. Noel JK et al. Alcohol marketing on social media: a systematic review. Journal of Studies on Alcohol and Drugs Supplement. </w:t>
      </w:r>
      <w:proofErr w:type="gramStart"/>
      <w:r>
        <w:t>2020;s</w:t>
      </w:r>
      <w:proofErr w:type="gramEnd"/>
      <w:r>
        <w:t>19:57–67. doi:10.15288/</w:t>
      </w:r>
      <w:proofErr w:type="gramStart"/>
      <w:r>
        <w:t>jsads.2020.s</w:t>
      </w:r>
      <w:proofErr w:type="gramEnd"/>
      <w:r>
        <w:t>19.57</w:t>
      </w:r>
    </w:p>
    <w:p w14:paraId="1047AF14" w14:textId="77777777" w:rsidR="009F3501" w:rsidRDefault="009F3501" w:rsidP="009F3501">
      <w:pPr>
        <w:spacing w:after="140" w:line="282" w:lineRule="auto"/>
        <w:jc w:val="both"/>
      </w:pPr>
      <w:r>
        <w:t xml:space="preserve">20. Kaner EFS et al. Personalised digital interventions for reducing hazardous and harmful alcohol consumption in community-dwelling populations. Cochrane Database of Systematic Reviews. 2018;2:CD011479. </w:t>
      </w:r>
      <w:proofErr w:type="gramStart"/>
      <w:r>
        <w:t>doi:10.1002/14651858.CD011479.pub2</w:t>
      </w:r>
      <w:proofErr w:type="gramEnd"/>
    </w:p>
    <w:p w14:paraId="291453AE" w14:textId="77777777" w:rsidR="009F3501" w:rsidRDefault="009F3501" w:rsidP="009F3501">
      <w:pPr>
        <w:spacing w:after="140" w:line="282" w:lineRule="auto"/>
        <w:jc w:val="both"/>
      </w:pPr>
      <w:r>
        <w:t xml:space="preserve">21. </w:t>
      </w:r>
      <w:proofErr w:type="spellStart"/>
      <w:r>
        <w:t>Roozenbeek</w:t>
      </w:r>
      <w:proofErr w:type="spellEnd"/>
      <w:r>
        <w:t xml:space="preserve"> J et al. </w:t>
      </w:r>
      <w:proofErr w:type="gramStart"/>
      <w:r>
        <w:t>Psychological</w:t>
      </w:r>
      <w:proofErr w:type="gramEnd"/>
      <w:r>
        <w:t xml:space="preserve"> inoculation improves resilience against misinformation on social media. Science Advances. 2022;8(34</w:t>
      </w:r>
      <w:proofErr w:type="gramStart"/>
      <w:r>
        <w:t>):eabo</w:t>
      </w:r>
      <w:proofErr w:type="gramEnd"/>
      <w:r>
        <w:t>6254. doi:10.1126/</w:t>
      </w:r>
      <w:proofErr w:type="gramStart"/>
      <w:r>
        <w:t>sciadv.abo</w:t>
      </w:r>
      <w:proofErr w:type="gramEnd"/>
      <w:r>
        <w:t>6254 [PMID:36001675]</w:t>
      </w:r>
    </w:p>
    <w:p w14:paraId="0BDB03A5" w14:textId="77777777" w:rsidR="009F3501" w:rsidRDefault="009F3501" w:rsidP="009F3501">
      <w:pPr>
        <w:spacing w:after="140" w:line="282" w:lineRule="auto"/>
        <w:jc w:val="both"/>
      </w:pPr>
      <w:r>
        <w:t xml:space="preserve">22. </w:t>
      </w:r>
      <w:proofErr w:type="spellStart"/>
      <w:r>
        <w:t>Cadario</w:t>
      </w:r>
      <w:proofErr w:type="spellEnd"/>
      <w:r>
        <w:t xml:space="preserve"> R &amp; Chandon P. Which healthy eating nudges work best? A meta-analysis of field experiments. Marketing Science. 2020;39(3):465–486. doi:10.1287/mksc.2019.1185</w:t>
      </w:r>
    </w:p>
    <w:p w14:paraId="6C2784B7" w14:textId="77777777" w:rsidR="009F3501" w:rsidRDefault="009F3501" w:rsidP="009F3501">
      <w:pPr>
        <w:spacing w:after="140" w:line="282" w:lineRule="auto"/>
        <w:jc w:val="both"/>
      </w:pPr>
      <w:r>
        <w:t>23. Orben A &amp; Przybylski AK. The association between adolescent well-being and digital technology use. Nature Human Behaviour. 2019;3(2):173–182. doi:10.1038/s41562-018-0506-1 [PMID:30944443]</w:t>
      </w:r>
    </w:p>
    <w:p w14:paraId="431B4E07" w14:textId="77777777" w:rsidR="009F3501" w:rsidRDefault="009F3501" w:rsidP="009F3501">
      <w:pPr>
        <w:spacing w:after="140" w:line="282" w:lineRule="auto"/>
        <w:jc w:val="both"/>
      </w:pPr>
      <w:r>
        <w:t>24. Sassi F et al. Equity impacts of price policies to promote healthy behaviours. Lancet. 2018;391(10134):2059–2070. doi:10.1016/S0140-6736(18)30531-2 [PMID:29627166]</w:t>
      </w:r>
    </w:p>
    <w:p w14:paraId="098D2B74" w14:textId="77777777" w:rsidR="009F3501" w:rsidRDefault="009F3501" w:rsidP="009F3501">
      <w:pPr>
        <w:spacing w:after="140" w:line="282" w:lineRule="auto"/>
        <w:jc w:val="both"/>
      </w:pPr>
      <w:r>
        <w:t xml:space="preserve">25. Hale L &amp; Guan S. Screen time and sleep among school-aged children and adolescents: A systematic literature review. Sleep Medicine Reviews. </w:t>
      </w:r>
      <w:proofErr w:type="gramStart"/>
      <w:r>
        <w:t>2015;21:50</w:t>
      </w:r>
      <w:proofErr w:type="gramEnd"/>
      <w:r>
        <w:t xml:space="preserve">–58. </w:t>
      </w:r>
      <w:proofErr w:type="gramStart"/>
      <w:r>
        <w:t>doi:10.1016/j.smrv</w:t>
      </w:r>
      <w:proofErr w:type="gramEnd"/>
      <w:r>
        <w:t>.2014.07.007 [PMID:25193149]</w:t>
      </w:r>
    </w:p>
    <w:p w14:paraId="3256CDC9" w14:textId="77777777" w:rsidR="000A1366" w:rsidRPr="00422790" w:rsidRDefault="000A1366" w:rsidP="004405A7">
      <w:pPr>
        <w:rPr>
          <w:bCs/>
        </w:rPr>
      </w:pPr>
    </w:p>
    <w:p w14:paraId="69DA6DED" w14:textId="77777777" w:rsidR="000A1366" w:rsidRPr="00422790" w:rsidRDefault="000A1366" w:rsidP="004405A7">
      <w:pPr>
        <w:rPr>
          <w:bCs/>
        </w:rPr>
      </w:pPr>
    </w:p>
    <w:p w14:paraId="0DD3E264" w14:textId="77777777" w:rsidR="00D93E95" w:rsidRPr="00422790" w:rsidRDefault="00D93E95" w:rsidP="004405A7">
      <w:pPr>
        <w:jc w:val="both"/>
        <w:rPr>
          <w:b/>
          <w:bCs/>
        </w:rPr>
        <w:sectPr w:rsidR="00D93E95" w:rsidRPr="00422790" w:rsidSect="00FF4CC0">
          <w:headerReference w:type="default" r:id="rId12"/>
          <w:footerReference w:type="default" r:id="rId13"/>
          <w:pgSz w:w="11906" w:h="16838" w:code="9"/>
          <w:pgMar w:top="851" w:right="993" w:bottom="851" w:left="851" w:header="284" w:footer="1003" w:gutter="0"/>
          <w:cols w:space="720"/>
          <w:docGrid w:linePitch="326"/>
        </w:sectPr>
      </w:pPr>
    </w:p>
    <w:p w14:paraId="758D5326" w14:textId="0A7E4267" w:rsidR="00BE70B6" w:rsidRPr="00422790" w:rsidRDefault="0715BCBE" w:rsidP="0715BCBE">
      <w:pPr>
        <w:contextualSpacing/>
        <w:rPr>
          <w:noProof/>
          <w:color w:val="B5B5B5"/>
          <w:sz w:val="28"/>
          <w:szCs w:val="28"/>
        </w:rPr>
      </w:pPr>
      <w:r w:rsidRPr="0715BCBE">
        <w:rPr>
          <w:b/>
          <w:bCs/>
          <w:sz w:val="28"/>
          <w:szCs w:val="28"/>
        </w:rPr>
        <w:lastRenderedPageBreak/>
        <w:t xml:space="preserve">3. Quality and efficiency of the implementation </w:t>
      </w:r>
    </w:p>
    <w:p w14:paraId="78C965BA" w14:textId="77777777" w:rsidR="002C039B" w:rsidRPr="00422790" w:rsidRDefault="002C039B" w:rsidP="004405A7">
      <w:pPr>
        <w:rPr>
          <w:b/>
          <w:bCs/>
        </w:rPr>
      </w:pPr>
      <w:r w:rsidRPr="00422790">
        <w:rPr>
          <w:b/>
          <w:bCs/>
        </w:rPr>
        <w:t>3.1</w:t>
      </w:r>
      <w:r w:rsidRPr="00422790">
        <w:rPr>
          <w:b/>
          <w:bCs/>
        </w:rPr>
        <w:tab/>
        <w:t xml:space="preserve">Work plan and resources </w:t>
      </w:r>
    </w:p>
    <w:p w14:paraId="6A46CD2F" w14:textId="77777777" w:rsidR="00A55DA2" w:rsidRPr="00422790" w:rsidRDefault="00A55DA2" w:rsidP="004405A7">
      <w:pPr>
        <w:jc w:val="both"/>
      </w:pPr>
    </w:p>
    <w:p w14:paraId="2BD8233F" w14:textId="795C5198" w:rsidR="00A55DA2" w:rsidRPr="00422790" w:rsidRDefault="00BF5884" w:rsidP="004405A7">
      <w:pPr>
        <w:jc w:val="both"/>
        <w:rPr>
          <w:b/>
          <w:bCs/>
          <w:color w:val="000000" w:themeColor="text1"/>
        </w:rPr>
      </w:pPr>
      <w:r w:rsidRPr="00422790">
        <w:rPr>
          <w:b/>
          <w:bCs/>
          <w:color w:val="000000" w:themeColor="text1"/>
        </w:rPr>
        <w:t>GANTT CHART</w:t>
      </w:r>
    </w:p>
    <w:p w14:paraId="4D6E17B2" w14:textId="77777777" w:rsidR="00A55DA2" w:rsidRPr="00422790" w:rsidRDefault="00A55DA2" w:rsidP="004405A7">
      <w:pPr>
        <w:jc w:val="both"/>
      </w:pPr>
    </w:p>
    <w:p w14:paraId="2BC1A67F" w14:textId="77B0C47A" w:rsidR="00BF5884" w:rsidRPr="00422790" w:rsidRDefault="00BF5884" w:rsidP="0715BCBE">
      <w:pPr>
        <w:jc w:val="both"/>
      </w:pPr>
      <w:r>
        <w:rPr>
          <w:noProof/>
        </w:rPr>
        <w:drawing>
          <wp:inline distT="0" distB="0" distL="0" distR="0" wp14:anchorId="094BE45D" wp14:editId="253257D7">
            <wp:extent cx="6477333" cy="3251367"/>
            <wp:effectExtent l="0" t="0" r="0" b="0"/>
            <wp:docPr id="298337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37689" name="Picture 298337689"/>
                    <pic:cNvPicPr/>
                  </pic:nvPicPr>
                  <pic:blipFill>
                    <a:blip r:embed="rId14">
                      <a:extLst>
                        <a:ext uri="{28A0092B-C50C-407E-A947-70E740481C1C}">
                          <a14:useLocalDpi xmlns:a14="http://schemas.microsoft.com/office/drawing/2010/main"/>
                        </a:ext>
                      </a:extLst>
                    </a:blip>
                    <a:stretch>
                      <a:fillRect/>
                    </a:stretch>
                  </pic:blipFill>
                  <pic:spPr>
                    <a:xfrm>
                      <a:off x="0" y="0"/>
                      <a:ext cx="6477333" cy="3251367"/>
                    </a:xfrm>
                    <a:prstGeom prst="rect">
                      <a:avLst/>
                    </a:prstGeom>
                  </pic:spPr>
                </pic:pic>
              </a:graphicData>
            </a:graphic>
          </wp:inline>
        </w:drawing>
      </w:r>
    </w:p>
    <w:p w14:paraId="0B1E72D0" w14:textId="7203DEFD" w:rsidR="00A55DA2" w:rsidRPr="00422790" w:rsidRDefault="0715BCBE" w:rsidP="0715BCBE">
      <w:pPr>
        <w:jc w:val="both"/>
        <w:rPr>
          <w:b/>
          <w:bCs/>
          <w:color w:val="000000" w:themeColor="text1"/>
        </w:rPr>
      </w:pPr>
      <w:r w:rsidRPr="0715BCBE">
        <w:rPr>
          <w:b/>
          <w:bCs/>
          <w:color w:val="000000" w:themeColor="text1"/>
        </w:rPr>
        <w:t>DETAILED WORK DESCRIPTION</w:t>
      </w:r>
    </w:p>
    <w:tbl>
      <w:tblPr>
        <w:tblW w:w="0" w:type="auto"/>
        <w:tblLook w:val="06A0" w:firstRow="1" w:lastRow="0" w:firstColumn="1" w:lastColumn="0" w:noHBand="1" w:noVBand="1"/>
      </w:tblPr>
      <w:tblGrid>
        <w:gridCol w:w="696"/>
        <w:gridCol w:w="4606"/>
        <w:gridCol w:w="995"/>
        <w:gridCol w:w="1525"/>
        <w:gridCol w:w="705"/>
        <w:gridCol w:w="779"/>
        <w:gridCol w:w="878"/>
      </w:tblGrid>
      <w:tr w:rsidR="0715BCBE" w14:paraId="345F2E77"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816F65" w14:textId="4A62A14E" w:rsidR="0715BCBE" w:rsidRPr="00F0275B" w:rsidRDefault="0715BCBE" w:rsidP="0715BCBE">
            <w:pPr>
              <w:jc w:val="center"/>
            </w:pPr>
            <w:r w:rsidRPr="00F0275B">
              <w:rPr>
                <w:b/>
                <w:bCs/>
              </w:rPr>
              <w:t>WP</w:t>
            </w:r>
          </w:p>
        </w:tc>
        <w:tc>
          <w:tcPr>
            <w:tcW w:w="46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BE95F4" w14:textId="252ABB23" w:rsidR="0715BCBE" w:rsidRPr="00F0275B" w:rsidRDefault="0715BCBE" w:rsidP="0715BCBE">
            <w:pPr>
              <w:jc w:val="center"/>
            </w:pPr>
            <w:r w:rsidRPr="00F0275B">
              <w:rPr>
                <w:b/>
                <w:bCs/>
              </w:rPr>
              <w:t>WP Title</w:t>
            </w:r>
          </w:p>
        </w:tc>
        <w:tc>
          <w:tcPr>
            <w:tcW w:w="10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2DA52B" w14:textId="39E650A2" w:rsidR="0715BCBE" w:rsidRPr="00F0275B" w:rsidRDefault="0715BCBE" w:rsidP="0715BCBE">
            <w:pPr>
              <w:jc w:val="center"/>
            </w:pPr>
            <w:r w:rsidRPr="00F0275B">
              <w:rPr>
                <w:b/>
                <w:bCs/>
              </w:rPr>
              <w:t>Part. n.</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616420" w14:textId="04A7BB07" w:rsidR="0715BCBE" w:rsidRPr="00F0275B" w:rsidRDefault="0715BCBE" w:rsidP="0715BCBE">
            <w:pPr>
              <w:jc w:val="center"/>
            </w:pPr>
            <w:r w:rsidRPr="00F0275B">
              <w:rPr>
                <w:b/>
                <w:bCs/>
              </w:rPr>
              <w:t>Lead</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25A53D" w14:textId="560B6700" w:rsidR="0715BCBE" w:rsidRPr="00F0275B" w:rsidRDefault="0715BCBE" w:rsidP="0715BCBE">
            <w:pPr>
              <w:jc w:val="center"/>
            </w:pPr>
            <w:r w:rsidRPr="00F0275B">
              <w:rPr>
                <w:b/>
                <w:bCs/>
              </w:rPr>
              <w:t>PM</w:t>
            </w:r>
          </w:p>
        </w:tc>
        <w:tc>
          <w:tcPr>
            <w:tcW w:w="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99CA83E" w14:textId="49D8BF4B" w:rsidR="0715BCBE" w:rsidRPr="00F0275B" w:rsidRDefault="0715BCBE" w:rsidP="0715BCBE">
            <w:pPr>
              <w:jc w:val="center"/>
            </w:pPr>
            <w:r w:rsidRPr="00F0275B">
              <w:rPr>
                <w:b/>
                <w:bCs/>
              </w:rPr>
              <w:t>Start</w:t>
            </w:r>
          </w:p>
        </w:tc>
        <w:tc>
          <w:tcPr>
            <w:tcW w:w="8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E62AF2" w14:textId="556C6391" w:rsidR="0715BCBE" w:rsidRPr="00F0275B" w:rsidRDefault="0715BCBE" w:rsidP="0715BCBE">
            <w:pPr>
              <w:jc w:val="center"/>
            </w:pPr>
            <w:r w:rsidRPr="00F0275B">
              <w:rPr>
                <w:b/>
                <w:bCs/>
              </w:rPr>
              <w:t>End</w:t>
            </w:r>
          </w:p>
        </w:tc>
      </w:tr>
      <w:tr w:rsidR="0715BCBE" w14:paraId="7769D37D"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98D71" w14:textId="177E22C6" w:rsidR="0715BCBE" w:rsidRPr="00F0275B" w:rsidRDefault="0715BCBE" w:rsidP="0715BCBE">
            <w:pPr>
              <w:jc w:val="center"/>
            </w:pPr>
            <w:r w:rsidRPr="00F0275B">
              <w:t>1</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6A0FB" w14:textId="4388E877" w:rsidR="0715BCBE" w:rsidRPr="00F0275B" w:rsidRDefault="0715BCBE" w:rsidP="0715BCBE">
            <w:r w:rsidRPr="00F0275B">
              <w:t>Project Coordination &amp; Management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ABD41" w14:textId="7EA1301D"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DF770" w14:textId="76EDF73B" w:rsidR="0715BCBE" w:rsidRPr="00F0275B" w:rsidRDefault="00E83219" w:rsidP="0715BCBE">
            <w:pPr>
              <w:jc w:val="center"/>
            </w:pPr>
            <w:r w:rsidRPr="00F0275B">
              <w:rPr>
                <w:color w:val="282828"/>
              </w:rPr>
              <w:t>ICL</w:t>
            </w:r>
            <w:r w:rsidR="0715BCBE" w:rsidRPr="00F0275B">
              <w:rPr>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447A3" w14:textId="6CC4FDB6"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9F778" w14:textId="5ACE764A" w:rsidR="0715BCBE" w:rsidRPr="00F0275B" w:rsidRDefault="00F0275B" w:rsidP="0715BCBE">
            <w:pPr>
              <w:jc w:val="center"/>
            </w:pPr>
            <w:r w:rsidRPr="00F0275B">
              <w:t>1</w:t>
            </w:r>
            <w:r w:rsidR="0715BCBE"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4ACC1" w14:textId="444BBA06" w:rsidR="0715BCBE" w:rsidRPr="00F0275B" w:rsidRDefault="00F0275B" w:rsidP="0715BCBE">
            <w:pPr>
              <w:jc w:val="center"/>
            </w:pPr>
            <w:r w:rsidRPr="00F0275B">
              <w:t>48</w:t>
            </w:r>
            <w:r w:rsidR="0715BCBE" w:rsidRPr="00F0275B">
              <w:t xml:space="preserve"> </w:t>
            </w:r>
          </w:p>
        </w:tc>
      </w:tr>
      <w:tr w:rsidR="0715BCBE" w14:paraId="72C56B84"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89D43" w14:textId="53DD9492" w:rsidR="0715BCBE" w:rsidRPr="00F0275B" w:rsidRDefault="0715BCBE" w:rsidP="0715BCBE">
            <w:pPr>
              <w:jc w:val="center"/>
            </w:pPr>
            <w:r w:rsidRPr="00F0275B">
              <w:t>2</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E0C3D" w14:textId="7A523BBC" w:rsidR="0715BCBE" w:rsidRPr="00F0275B" w:rsidRDefault="0715BCBE" w:rsidP="0715BCBE">
            <w:r w:rsidRPr="00F0275B">
              <w:rPr>
                <w:color w:val="282828"/>
              </w:rPr>
              <w:t>Ethics</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5F5A5" w14:textId="444AA0DC"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17181" w14:textId="35B65C7D" w:rsidR="0715BCBE" w:rsidRPr="00F0275B" w:rsidRDefault="00E83219" w:rsidP="0715BCBE">
            <w:pPr>
              <w:jc w:val="center"/>
            </w:pPr>
            <w:r w:rsidRPr="00F0275B">
              <w:rPr>
                <w:color w:val="282828"/>
              </w:rPr>
              <w:t>ICL</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0CFEB" w14:textId="2DAE670B"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70A5A" w14:textId="07410C52" w:rsidR="0715BCBE" w:rsidRPr="00F0275B" w:rsidRDefault="00F0275B" w:rsidP="0715BCBE">
            <w:pPr>
              <w:jc w:val="center"/>
            </w:pPr>
            <w:r w:rsidRPr="00F0275B">
              <w:t>1</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19A9E" w14:textId="5359E660" w:rsidR="0715BCBE" w:rsidRPr="00F0275B" w:rsidRDefault="00F0275B" w:rsidP="0715BCBE">
            <w:pPr>
              <w:jc w:val="center"/>
            </w:pPr>
            <w:r w:rsidRPr="00F0275B">
              <w:t>48</w:t>
            </w:r>
            <w:r w:rsidR="0715BCBE" w:rsidRPr="00F0275B">
              <w:t xml:space="preserve"> </w:t>
            </w:r>
          </w:p>
        </w:tc>
      </w:tr>
      <w:tr w:rsidR="0715BCBE" w14:paraId="3F37BAD9"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3EA69" w14:textId="38A83D58" w:rsidR="0715BCBE" w:rsidRPr="00F0275B" w:rsidRDefault="0715BCBE" w:rsidP="0715BCBE">
            <w:pPr>
              <w:jc w:val="center"/>
            </w:pPr>
            <w:r w:rsidRPr="00F0275B">
              <w:t>3</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A871C" w14:textId="1F088362" w:rsidR="0715BCBE" w:rsidRPr="00F0275B" w:rsidRDefault="0715BCBE" w:rsidP="0715BCBE">
            <w:r w:rsidRPr="00F0275B">
              <w:rPr>
                <w:color w:val="282828"/>
              </w:rPr>
              <w:t>NCD Evidence Framework &amp; Disease Context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56029" w14:textId="1070867F"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70E94" w14:textId="08C99429" w:rsidR="0715BCBE" w:rsidRPr="00F0275B" w:rsidRDefault="001E181E" w:rsidP="0715BCBE">
            <w:pPr>
              <w:jc w:val="center"/>
            </w:pPr>
            <w:r w:rsidRPr="00F0275B">
              <w:t>AUMC</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D8A02" w14:textId="49794DAD"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32BB8" w14:textId="621648C2"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EE574" w14:textId="47EEA4D3" w:rsidR="0715BCBE" w:rsidRPr="00F0275B" w:rsidRDefault="0715BCBE" w:rsidP="0715BCBE">
            <w:pPr>
              <w:jc w:val="center"/>
            </w:pPr>
            <w:r w:rsidRPr="00F0275B">
              <w:t xml:space="preserve"> </w:t>
            </w:r>
          </w:p>
        </w:tc>
      </w:tr>
      <w:tr w:rsidR="0715BCBE" w14:paraId="0962B218" w14:textId="77777777" w:rsidTr="0715BCBE">
        <w:trPr>
          <w:trHeight w:val="27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56BE0" w14:textId="67E521CA" w:rsidR="0715BCBE" w:rsidRPr="00F0275B" w:rsidRDefault="0715BCBE" w:rsidP="0715BCBE">
            <w:pPr>
              <w:jc w:val="center"/>
            </w:pPr>
            <w:r w:rsidRPr="00F0275B">
              <w:t>4</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49E1C" w14:textId="2B5178EF" w:rsidR="0715BCBE" w:rsidRPr="00F0275B" w:rsidRDefault="0715BCBE" w:rsidP="0715BCBE">
            <w:r w:rsidRPr="00F0275B">
              <w:t>Multi-component intervention 1, Co-creation and planning: lower secondary school/early adolescence (age 12-15)</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3FE0E" w14:textId="64140DE7"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013FD" w14:textId="14866C96" w:rsidR="0715BCBE" w:rsidRPr="00F0275B" w:rsidRDefault="0715BCBE" w:rsidP="0715BCBE">
            <w:pPr>
              <w:jc w:val="center"/>
            </w:pPr>
            <w:r w:rsidRPr="00F0275B">
              <w:rPr>
                <w:color w:val="282828"/>
              </w:rPr>
              <w:t xml:space="preserve"> </w:t>
            </w:r>
            <w:r w:rsidR="007F6796" w:rsidRPr="00F0275B">
              <w:rPr>
                <w:color w:val="282828"/>
              </w:rPr>
              <w:t>NIPH</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24581" w14:textId="04B6865A"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0FBF2" w14:textId="7C7BA70D"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2CB5C" w14:textId="368FA094" w:rsidR="0715BCBE" w:rsidRPr="00F0275B" w:rsidRDefault="0715BCBE" w:rsidP="0715BCBE">
            <w:pPr>
              <w:jc w:val="center"/>
            </w:pPr>
            <w:r w:rsidRPr="00F0275B">
              <w:t xml:space="preserve"> </w:t>
            </w:r>
          </w:p>
        </w:tc>
      </w:tr>
      <w:tr w:rsidR="0715BCBE" w14:paraId="4E732A1C"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26E6A" w14:textId="54EFEE29" w:rsidR="0715BCBE" w:rsidRPr="00F0275B" w:rsidRDefault="0715BCBE" w:rsidP="0715BCBE">
            <w:pPr>
              <w:jc w:val="center"/>
            </w:pPr>
            <w:r w:rsidRPr="00F0275B">
              <w:t>5</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1CBA5" w14:textId="7706D4BB" w:rsidR="0715BCBE" w:rsidRPr="00F0275B" w:rsidRDefault="0715BCBE" w:rsidP="0715BCBE">
            <w:r w:rsidRPr="00F0275B">
              <w:t>Multi-component intervention 1, Co-creation and planning: upper secondary school/late adolescence (age 16-18)</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83355" w14:textId="18D91423"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05054" w14:textId="51576235" w:rsidR="0715BCBE" w:rsidRPr="00F0275B" w:rsidRDefault="0715BCBE" w:rsidP="0715BCBE">
            <w:pPr>
              <w:jc w:val="center"/>
            </w:pPr>
            <w:r w:rsidRPr="00F0275B">
              <w:rPr>
                <w:color w:val="282828"/>
              </w:rPr>
              <w:t xml:space="preserve"> </w:t>
            </w:r>
            <w:proofErr w:type="spellStart"/>
            <w:r w:rsidR="008A529D" w:rsidRPr="00F0275B">
              <w:rPr>
                <w:color w:val="282828"/>
              </w:rPr>
              <w:t>UoC</w:t>
            </w:r>
            <w:proofErr w:type="spellEnd"/>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BAA49" w14:textId="5AEB64A8"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E064E" w14:textId="68BBFC46"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A36EC" w14:textId="3AE52957" w:rsidR="0715BCBE" w:rsidRPr="00F0275B" w:rsidRDefault="0715BCBE" w:rsidP="0715BCBE">
            <w:pPr>
              <w:jc w:val="center"/>
            </w:pPr>
            <w:r w:rsidRPr="00F0275B">
              <w:t xml:space="preserve"> </w:t>
            </w:r>
          </w:p>
        </w:tc>
      </w:tr>
      <w:tr w:rsidR="0715BCBE" w14:paraId="31441091"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6A62F" w14:textId="392E1987" w:rsidR="0715BCBE" w:rsidRPr="00F0275B" w:rsidRDefault="0715BCBE" w:rsidP="0715BCBE">
            <w:pPr>
              <w:jc w:val="center"/>
            </w:pPr>
            <w:r w:rsidRPr="00F0275B">
              <w:t>6</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99247" w14:textId="3E37CF91" w:rsidR="0715BCBE" w:rsidRPr="00F0275B" w:rsidRDefault="0715BCBE" w:rsidP="0715BCBE">
            <w:r w:rsidRPr="00F0275B">
              <w:t>Intervention implementation in countries</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8B30" w14:textId="6C54CE46"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0C31C" w14:textId="3B0404A3" w:rsidR="0715BCBE" w:rsidRPr="00F0275B" w:rsidRDefault="0715BCBE" w:rsidP="0715BCBE">
            <w:pPr>
              <w:jc w:val="center"/>
            </w:pPr>
            <w:r w:rsidRPr="00F0275B">
              <w:rPr>
                <w:color w:val="282828"/>
              </w:rPr>
              <w:t xml:space="preserve"> </w:t>
            </w:r>
            <w:r w:rsidR="001E181E" w:rsidRPr="00F0275B">
              <w:rPr>
                <w:color w:val="282828"/>
              </w:rPr>
              <w:t>NIJZ</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C4FC8" w14:textId="3DA8BF96"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67DF5" w14:textId="455472A7"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D6C54" w14:textId="67E543DF" w:rsidR="0715BCBE" w:rsidRPr="00F0275B" w:rsidRDefault="0715BCBE" w:rsidP="0715BCBE">
            <w:pPr>
              <w:jc w:val="center"/>
            </w:pPr>
            <w:r w:rsidRPr="00F0275B">
              <w:t xml:space="preserve"> </w:t>
            </w:r>
          </w:p>
        </w:tc>
      </w:tr>
      <w:tr w:rsidR="0715BCBE" w14:paraId="540EF759"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0682D" w14:textId="3B173E46" w:rsidR="0715BCBE" w:rsidRPr="00F0275B" w:rsidRDefault="0715BCBE" w:rsidP="0715BCBE">
            <w:pPr>
              <w:jc w:val="center"/>
            </w:pPr>
            <w:r w:rsidRPr="00F0275B">
              <w:t>7</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10F89" w14:textId="190F57A7" w:rsidR="0715BCBE" w:rsidRPr="00F0275B" w:rsidRDefault="0715BCBE" w:rsidP="0715BCBE">
            <w:r w:rsidRPr="00F0275B">
              <w:t xml:space="preserve">Evaluation </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BE83D" w14:textId="44C113C0"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CCDAD" w14:textId="70751091" w:rsidR="0715BCBE" w:rsidRPr="00F0275B" w:rsidRDefault="0715BCBE" w:rsidP="0715BCBE">
            <w:pPr>
              <w:jc w:val="center"/>
            </w:pPr>
            <w:r w:rsidRPr="00F0275B">
              <w:rPr>
                <w:color w:val="282828"/>
              </w:rPr>
              <w:t xml:space="preserve"> </w:t>
            </w:r>
            <w:r w:rsidR="001E181E" w:rsidRPr="00F0275B">
              <w:rPr>
                <w:color w:val="282828"/>
              </w:rPr>
              <w:t>ICL</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3BB88" w14:textId="51BFF65C"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78A4F" w14:textId="6D14F300"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0FAA3" w14:textId="4BFAE9D6" w:rsidR="0715BCBE" w:rsidRPr="00F0275B" w:rsidRDefault="0715BCBE" w:rsidP="0715BCBE">
            <w:pPr>
              <w:jc w:val="center"/>
            </w:pPr>
            <w:r w:rsidRPr="00F0275B">
              <w:t xml:space="preserve"> </w:t>
            </w:r>
          </w:p>
        </w:tc>
      </w:tr>
      <w:tr w:rsidR="0715BCBE" w14:paraId="5A6D5353"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EB955" w14:textId="4D283B97" w:rsidR="0715BCBE" w:rsidRPr="00F0275B" w:rsidRDefault="0715BCBE" w:rsidP="0715BCBE">
            <w:pPr>
              <w:jc w:val="center"/>
            </w:pPr>
            <w:r w:rsidRPr="00F0275B">
              <w:t>8</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35F6D" w14:textId="657DC59B" w:rsidR="0715BCBE" w:rsidRPr="00F0275B" w:rsidRDefault="0715BCBE" w:rsidP="0715BCBE">
            <w:r w:rsidRPr="00F0275B">
              <w:t>Modelling, Policy simulation &amp; Foresight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51A03" w14:textId="23107516"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65728" w14:textId="247751DF" w:rsidR="0715BCBE" w:rsidRPr="00F0275B" w:rsidRDefault="0715BCBE" w:rsidP="0715BCBE">
            <w:pPr>
              <w:jc w:val="center"/>
            </w:pPr>
            <w:r w:rsidRPr="00F0275B">
              <w:rPr>
                <w:color w:val="282828"/>
              </w:rPr>
              <w:t xml:space="preserve"> </w:t>
            </w:r>
            <w:r w:rsidR="001E181E" w:rsidRPr="00F0275B">
              <w:rPr>
                <w:color w:val="282828"/>
              </w:rPr>
              <w:t>ISINNOVA</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10676" w14:textId="53D860BE"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C9021" w14:textId="549EF246"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A28E0" w14:textId="021AA019" w:rsidR="0715BCBE" w:rsidRPr="00F0275B" w:rsidRDefault="0715BCBE" w:rsidP="0715BCBE">
            <w:pPr>
              <w:jc w:val="center"/>
            </w:pPr>
            <w:r w:rsidRPr="00F0275B">
              <w:t xml:space="preserve"> </w:t>
            </w:r>
          </w:p>
        </w:tc>
      </w:tr>
      <w:tr w:rsidR="0715BCBE" w14:paraId="0D4426BA"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93C16" w14:textId="2570E4B3" w:rsidR="0715BCBE" w:rsidRPr="00F0275B" w:rsidRDefault="0715BCBE" w:rsidP="0715BCBE">
            <w:pPr>
              <w:jc w:val="center"/>
            </w:pPr>
            <w:r w:rsidRPr="00F0275B">
              <w:t>9</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5EC3C" w14:textId="0EAAB2DF" w:rsidR="0715BCBE" w:rsidRPr="00F0275B" w:rsidRDefault="0715BCBE" w:rsidP="0715BCBE">
            <w:r w:rsidRPr="00F0275B">
              <w:t>Communication, Stakeholder engagement, dissemination and exploitation</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88ED4" w14:textId="048F8F28" w:rsidR="0715BCBE" w:rsidRPr="00F0275B" w:rsidRDefault="0715BCBE" w:rsidP="0715BCBE">
            <w:pPr>
              <w:jc w:val="center"/>
            </w:pPr>
            <w:r w:rsidRPr="00F0275B">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A889D" w14:textId="32F7784A" w:rsidR="0715BCBE" w:rsidRPr="00F0275B" w:rsidRDefault="00F0275B" w:rsidP="0715BCBE">
            <w:pPr>
              <w:jc w:val="center"/>
            </w:pPr>
            <w:r w:rsidRPr="00F0275B">
              <w:t>EHNet</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1D0C7B" w14:textId="4B243420" w:rsidR="0715BCBE" w:rsidRPr="00F0275B" w:rsidRDefault="0715BCBE" w:rsidP="0715BCBE">
            <w:pPr>
              <w:jc w:val="center"/>
            </w:pPr>
            <w:r w:rsidRPr="00F0275B">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B9649" w14:textId="6E321AA2" w:rsidR="0715BCBE" w:rsidRPr="00F0275B" w:rsidRDefault="0715BCBE" w:rsidP="0715BCBE">
            <w:pPr>
              <w:jc w:val="center"/>
            </w:pPr>
            <w:r w:rsidRPr="00F0275B">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1749A" w14:textId="2AA83A62" w:rsidR="0715BCBE" w:rsidRPr="00F0275B" w:rsidRDefault="0715BCBE" w:rsidP="0715BCBE">
            <w:pPr>
              <w:jc w:val="center"/>
            </w:pPr>
            <w:r w:rsidRPr="00F0275B">
              <w:t xml:space="preserve"> </w:t>
            </w:r>
          </w:p>
        </w:tc>
      </w:tr>
      <w:tr w:rsidR="0715BCBE" w14:paraId="00545004"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E363C70" w14:textId="044793EE" w:rsidR="0715BCBE" w:rsidRPr="00F0275B" w:rsidRDefault="0715BCBE" w:rsidP="0715BCBE">
            <w:pPr>
              <w:jc w:val="both"/>
            </w:pPr>
            <w:r w:rsidRPr="00F0275B">
              <w:t xml:space="preserve"> </w:t>
            </w:r>
          </w:p>
        </w:tc>
        <w:tc>
          <w:tcPr>
            <w:tcW w:w="46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59ADC8" w14:textId="5FB9F96B" w:rsidR="0715BCBE" w:rsidRPr="00F0275B" w:rsidRDefault="0715BCBE" w:rsidP="0715BCBE">
            <w:pPr>
              <w:jc w:val="both"/>
            </w:pPr>
            <w:r w:rsidRPr="00F0275B">
              <w:t xml:space="preserve"> </w:t>
            </w:r>
          </w:p>
        </w:tc>
        <w:tc>
          <w:tcPr>
            <w:tcW w:w="10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843121" w14:textId="6F27CF5C" w:rsidR="0715BCBE" w:rsidRPr="00F0275B" w:rsidRDefault="0715BCBE" w:rsidP="0715BCBE">
            <w:pPr>
              <w:jc w:val="both"/>
            </w:pPr>
            <w:r w:rsidRPr="00F0275B">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FEEEFC" w14:textId="31B59200" w:rsidR="0715BCBE" w:rsidRPr="00F0275B" w:rsidRDefault="0715BCBE" w:rsidP="0715BCBE">
            <w:pPr>
              <w:jc w:val="both"/>
            </w:pPr>
            <w:r w:rsidRPr="00F0275B">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D29A5D1" w14:textId="693E4F63" w:rsidR="0715BCBE" w:rsidRPr="00F0275B" w:rsidRDefault="0715BCBE" w:rsidP="0715BCBE">
            <w:pPr>
              <w:jc w:val="center"/>
            </w:pPr>
            <w:r w:rsidRPr="00F0275B">
              <w:rPr>
                <w:b/>
                <w:bCs/>
              </w:rPr>
              <w:t xml:space="preserve"> </w:t>
            </w:r>
          </w:p>
        </w:tc>
        <w:tc>
          <w:tcPr>
            <w:tcW w:w="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279E61E" w14:textId="203BA444" w:rsidR="0715BCBE" w:rsidRPr="00F0275B" w:rsidRDefault="0715BCBE" w:rsidP="0715BCBE">
            <w:pPr>
              <w:jc w:val="both"/>
            </w:pPr>
            <w:r w:rsidRPr="00F0275B">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6EA032" w14:textId="04348D5A" w:rsidR="0715BCBE" w:rsidRPr="00F0275B" w:rsidRDefault="0715BCBE" w:rsidP="0715BCBE">
            <w:pPr>
              <w:jc w:val="both"/>
            </w:pPr>
            <w:r w:rsidRPr="00F0275B">
              <w:t xml:space="preserve"> </w:t>
            </w:r>
          </w:p>
        </w:tc>
      </w:tr>
    </w:tbl>
    <w:p w14:paraId="00985FAA" w14:textId="3DF5EE7E" w:rsidR="0715BCBE" w:rsidRDefault="0715BCBE" w:rsidP="0715BCBE">
      <w:pPr>
        <w:jc w:val="both"/>
      </w:pPr>
      <w:r w:rsidRPr="0715BCBE">
        <w:t xml:space="preserve"> </w:t>
      </w:r>
    </w:p>
    <w:p w14:paraId="7CDB86E8" w14:textId="77777777" w:rsidR="003D5218" w:rsidRDefault="003D5218" w:rsidP="0715BCBE">
      <w:pPr>
        <w:jc w:val="both"/>
        <w:rPr>
          <w:b/>
          <w:bCs/>
        </w:rPr>
        <w:sectPr w:rsidR="003D5218" w:rsidSect="009B1831">
          <w:pgSz w:w="11906" w:h="16838" w:code="9"/>
          <w:pgMar w:top="1276" w:right="851" w:bottom="851" w:left="851" w:header="426" w:footer="1003" w:gutter="0"/>
          <w:cols w:space="720"/>
          <w:docGrid w:linePitch="299"/>
        </w:sectPr>
      </w:pPr>
    </w:p>
    <w:p w14:paraId="19304A18" w14:textId="6A913644" w:rsidR="0715BCBE" w:rsidRDefault="0715BCBE" w:rsidP="0715BCBE">
      <w:pPr>
        <w:jc w:val="both"/>
      </w:pPr>
      <w:r w:rsidRPr="0715BCBE">
        <w:rPr>
          <w:b/>
          <w:bCs/>
        </w:rPr>
        <w:lastRenderedPageBreak/>
        <w:t xml:space="preserve">Work package description </w:t>
      </w:r>
    </w:p>
    <w:p w14:paraId="2574D8A8" w14:textId="246D59D6" w:rsidR="0715BCBE" w:rsidRDefault="0715BCBE" w:rsidP="00D51EE2">
      <w:pPr>
        <w:pStyle w:val="ListParagraph"/>
        <w:numPr>
          <w:ilvl w:val="0"/>
          <w:numId w:val="5"/>
        </w:numPr>
        <w:ind w:left="360"/>
        <w:jc w:val="both"/>
        <w:rPr>
          <w:i/>
          <w:iCs/>
          <w:color w:val="1F4E79" w:themeColor="accent1" w:themeShade="80"/>
          <w:sz w:val="20"/>
          <w:szCs w:val="20"/>
        </w:rPr>
      </w:pPr>
      <w:r w:rsidRPr="0715BCBE">
        <w:rPr>
          <w:i/>
          <w:iCs/>
          <w:color w:val="1F4E79" w:themeColor="accent1" w:themeShade="80"/>
          <w:sz w:val="20"/>
          <w:szCs w:val="20"/>
        </w:rPr>
        <w:t>For each task or element of the work package, describe all activities to be carried out and quantify them (e.g., number of protocols, tests, measurements, combinations, study subjects, conferences, publications, etc.).</w:t>
      </w:r>
    </w:p>
    <w:p w14:paraId="6BA80559" w14:textId="6F322B31" w:rsidR="0715BCBE" w:rsidRDefault="59C0B653" w:rsidP="00D51EE2">
      <w:pPr>
        <w:pStyle w:val="ListParagraph"/>
        <w:numPr>
          <w:ilvl w:val="0"/>
          <w:numId w:val="5"/>
        </w:numPr>
        <w:ind w:left="360"/>
        <w:jc w:val="both"/>
        <w:rPr>
          <w:i/>
          <w:iCs/>
          <w:color w:val="1F4E79" w:themeColor="accent1" w:themeShade="80"/>
          <w:sz w:val="20"/>
          <w:szCs w:val="20"/>
        </w:rPr>
      </w:pPr>
      <w:r w:rsidRPr="59C0B653">
        <w:rPr>
          <w:i/>
          <w:iCs/>
          <w:color w:val="1F4E79" w:themeColor="accent1" w:themeShade="80"/>
          <w:sz w:val="20"/>
          <w:szCs w:val="20"/>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2033BC2E" w14:textId="371A8976" w:rsidR="0715BCBE" w:rsidRDefault="0715BCBE" w:rsidP="48217AC4">
      <w:pPr>
        <w:jc w:val="both"/>
        <w:rPr>
          <w:i/>
          <w:iCs/>
          <w:color w:val="1F4E79" w:themeColor="accent1" w:themeShade="80"/>
          <w:sz w:val="20"/>
          <w:szCs w:val="20"/>
        </w:rPr>
      </w:pPr>
    </w:p>
    <w:tbl>
      <w:tblPr>
        <w:tblW w:w="0" w:type="auto"/>
        <w:tblLook w:val="06A0" w:firstRow="1" w:lastRow="0" w:firstColumn="1" w:lastColumn="0" w:noHBand="1" w:noVBand="1"/>
      </w:tblPr>
      <w:tblGrid>
        <w:gridCol w:w="3511"/>
        <w:gridCol w:w="6673"/>
      </w:tblGrid>
      <w:tr w:rsidR="48217AC4" w14:paraId="27F59169" w14:textId="77777777" w:rsidTr="48217AC4">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BB479CA" w14:textId="2C413522" w:rsidR="48217AC4" w:rsidRDefault="48217AC4" w:rsidP="48217AC4">
            <w:r w:rsidRPr="48217AC4">
              <w:rPr>
                <w:b/>
                <w:bCs/>
              </w:rPr>
              <w:t xml:space="preserve">Work package number </w:t>
            </w:r>
          </w:p>
        </w:tc>
        <w:tc>
          <w:tcPr>
            <w:tcW w:w="6676" w:type="dxa"/>
            <w:tcBorders>
              <w:top w:val="single" w:sz="8" w:space="0" w:color="auto"/>
              <w:left w:val="single" w:sz="8" w:space="0" w:color="auto"/>
              <w:bottom w:val="single" w:sz="8" w:space="0" w:color="auto"/>
              <w:right w:val="single" w:sz="8" w:space="0" w:color="auto"/>
            </w:tcBorders>
            <w:tcMar>
              <w:left w:w="108" w:type="dxa"/>
              <w:right w:w="108" w:type="dxa"/>
            </w:tcMar>
          </w:tcPr>
          <w:p w14:paraId="2561C13E" w14:textId="52AB6F7D" w:rsidR="48217AC4" w:rsidRDefault="48217AC4" w:rsidP="48217AC4">
            <w:r w:rsidRPr="48217AC4">
              <w:t>1</w:t>
            </w:r>
          </w:p>
        </w:tc>
      </w:tr>
      <w:tr w:rsidR="48217AC4" w14:paraId="4EF16EE4" w14:textId="77777777" w:rsidTr="48217AC4">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4AA5AC" w14:textId="51990936" w:rsidR="48217AC4" w:rsidRDefault="48217AC4" w:rsidP="48217AC4">
            <w:r w:rsidRPr="48217AC4">
              <w:rPr>
                <w:b/>
                <w:bCs/>
              </w:rPr>
              <w:t>Work package title</w:t>
            </w:r>
          </w:p>
        </w:tc>
        <w:tc>
          <w:tcPr>
            <w:tcW w:w="6676" w:type="dxa"/>
            <w:tcBorders>
              <w:top w:val="single" w:sz="8" w:space="0" w:color="auto"/>
              <w:left w:val="single" w:sz="8" w:space="0" w:color="auto"/>
              <w:bottom w:val="single" w:sz="8" w:space="0" w:color="auto"/>
              <w:right w:val="single" w:sz="8" w:space="0" w:color="auto"/>
            </w:tcBorders>
            <w:tcMar>
              <w:left w:w="108" w:type="dxa"/>
              <w:right w:w="108" w:type="dxa"/>
            </w:tcMar>
          </w:tcPr>
          <w:p w14:paraId="4CF9E8B9" w14:textId="43FC3958" w:rsidR="48217AC4" w:rsidRDefault="48217AC4" w:rsidP="48217AC4">
            <w:pPr>
              <w:rPr>
                <w:b/>
                <w:bCs/>
              </w:rPr>
            </w:pPr>
            <w:r w:rsidRPr="48217AC4">
              <w:rPr>
                <w:b/>
                <w:bCs/>
              </w:rPr>
              <w:t>Project Coordination &amp; Management</w:t>
            </w:r>
          </w:p>
        </w:tc>
      </w:tr>
      <w:tr w:rsidR="48217AC4" w14:paraId="72F82728" w14:textId="77777777" w:rsidTr="48217AC4">
        <w:trPr>
          <w:trHeight w:val="300"/>
        </w:trPr>
        <w:tc>
          <w:tcPr>
            <w:tcW w:w="10189"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F0B462B" w14:textId="10528992" w:rsidR="48217AC4" w:rsidRDefault="48217AC4" w:rsidP="48217AC4">
            <w:r w:rsidRPr="48217AC4">
              <w:rPr>
                <w:b/>
                <w:bCs/>
              </w:rPr>
              <w:t>Objectives</w:t>
            </w:r>
            <w:r w:rsidRPr="48217AC4">
              <w:t>. (1) to conduct project coordination; (2) to lead production of the consortium agreement and project</w:t>
            </w:r>
          </w:p>
          <w:p w14:paraId="3885383D" w14:textId="51339D3E" w:rsidR="48217AC4" w:rsidRDefault="48217AC4" w:rsidP="48217AC4">
            <w:r w:rsidRPr="48217AC4">
              <w:t>implementation plan; (3) to facilitate WP connections and external cooperation with regular meetings; (4) to</w:t>
            </w:r>
          </w:p>
          <w:p w14:paraId="7F5C5B18" w14:textId="6E46704C" w:rsidR="48217AC4" w:rsidRDefault="48217AC4" w:rsidP="48217AC4">
            <w:r w:rsidRPr="48217AC4">
              <w:t>conduct central planning and management of sensitive topics (AI, privacy, security, ethics, gender, data, service design); (5) to conduct financial and regular reporting to EC.</w:t>
            </w:r>
          </w:p>
        </w:tc>
      </w:tr>
      <w:tr w:rsidR="48217AC4" w14:paraId="34CACDF5" w14:textId="77777777" w:rsidTr="48217AC4">
        <w:trPr>
          <w:trHeight w:val="2100"/>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E45523" w14:textId="57ABCB21" w:rsidR="48217AC4" w:rsidRDefault="48217AC4" w:rsidP="48217AC4">
            <w:pPr>
              <w:jc w:val="both"/>
            </w:pPr>
            <w:r w:rsidRPr="48217AC4">
              <w:rPr>
                <w:b/>
                <w:bCs/>
              </w:rPr>
              <w:t>Description of work</w:t>
            </w:r>
          </w:p>
          <w:p w14:paraId="652C35EE" w14:textId="40E87BEB" w:rsidR="48217AC4" w:rsidRDefault="48217AC4" w:rsidP="48217AC4">
            <w:pPr>
              <w:jc w:val="both"/>
            </w:pPr>
            <w:r w:rsidRPr="48217AC4">
              <w:rPr>
                <w:b/>
                <w:bCs/>
              </w:rPr>
              <w:t>T1.1 Scientific &amp; Technical management (Lead: ICL; Participants: ALL PARTNERS)</w:t>
            </w:r>
          </w:p>
          <w:p w14:paraId="229E794F" w14:textId="2D718670" w:rsidR="48217AC4" w:rsidRDefault="48217AC4" w:rsidP="48217AC4">
            <w:pPr>
              <w:jc w:val="both"/>
            </w:pPr>
            <w:r w:rsidRPr="48217AC4">
              <w:t>This task coordinates interactions between WPs and it is responsible for the supervision of the overall progress of the project, pursuing the conformance with deadlines and technical objectives. Specific documentation (presentations and procedures) will be prepared by the project coordinator and presented in a specific meeting to all the WP leaders within the kick-off meeting. WP leaders will be in charge of transferring this information to all the task leaders of their WP, having a 3-month cycle sprint meeting, helping the task leaders overcome impediments and establishing contingency plans for deviations, planning the review meetings at the end of each sprint and transfer results and information to other WP in the project progress meetings. Activities within</w:t>
            </w:r>
          </w:p>
          <w:p w14:paraId="54A97598" w14:textId="484E003D" w:rsidR="48217AC4" w:rsidRDefault="48217AC4" w:rsidP="48217AC4">
            <w:pPr>
              <w:jc w:val="both"/>
            </w:pPr>
            <w:r w:rsidRPr="48217AC4">
              <w:t xml:space="preserve">this task, including detection of errors and deviations in the project’s life cycle and corrective actions or contingency plans, will be reported in the periodic reports. Enforce the quality assurance procedures, which is joint responsibility of all partners applied at all levels of the project’s activities. </w:t>
            </w:r>
          </w:p>
          <w:p w14:paraId="66BCB7FB" w14:textId="56CA05DC" w:rsidR="48217AC4" w:rsidRDefault="48217AC4" w:rsidP="48217AC4">
            <w:pPr>
              <w:jc w:val="both"/>
            </w:pPr>
            <w:r w:rsidRPr="48217AC4">
              <w:t xml:space="preserve"> </w:t>
            </w:r>
          </w:p>
          <w:p w14:paraId="2CB23FA4" w14:textId="59C5FA82" w:rsidR="48217AC4" w:rsidRDefault="48217AC4" w:rsidP="48217AC4">
            <w:pPr>
              <w:jc w:val="both"/>
            </w:pPr>
            <w:r w:rsidRPr="48217AC4">
              <w:rPr>
                <w:b/>
                <w:bCs/>
              </w:rPr>
              <w:t>T1.2 Administrative and Operative management</w:t>
            </w:r>
            <w:r w:rsidRPr="48217AC4">
              <w:t xml:space="preserve"> </w:t>
            </w:r>
            <w:r w:rsidRPr="48217AC4">
              <w:rPr>
                <w:b/>
                <w:bCs/>
              </w:rPr>
              <w:t>(Lead: ISINNOVA, Participants: ALL PARTNERS)</w:t>
            </w:r>
          </w:p>
          <w:p w14:paraId="07B7A82D" w14:textId="1116F9EA" w:rsidR="48217AC4" w:rsidRDefault="48217AC4" w:rsidP="48217AC4">
            <w:pPr>
              <w:jc w:val="both"/>
            </w:pPr>
            <w:r w:rsidRPr="48217AC4">
              <w:t xml:space="preserve">Formal &amp; legal relationship between Partners &amp; the various constitutive components of the Consortium &amp; the CE. It includes the maintenance and enactment of the provisions of the Consortium Agreement and the creation and maintenance of the various operational structures and communication tools. It will also monitor the implementation of the planned work, deadlines and milestones, follow-up of progress based on the </w:t>
            </w:r>
            <w:proofErr w:type="spellStart"/>
            <w:r w:rsidRPr="48217AC4">
              <w:t>DoA</w:t>
            </w:r>
            <w:proofErr w:type="spellEnd"/>
            <w:r w:rsidRPr="48217AC4">
              <w:t>, financial &amp; resource monitoring of the project, controlling schedule &amp; consistency of deliverables. Planning (six-monthly Steering Committee and annual General Assembly) meetings to ensure information exchange and joint work execution. Remote and in-person meetings. Deal with the preparation of any modifications to the Description of Action (</w:t>
            </w:r>
            <w:proofErr w:type="spellStart"/>
            <w:r w:rsidRPr="48217AC4">
              <w:t>DoA</w:t>
            </w:r>
            <w:proofErr w:type="spellEnd"/>
            <w:r w:rsidRPr="48217AC4">
              <w:t>) required by the results of annual reviews, partnership changes, or external factors. Periodic Reports. Ensuring that all contractual, society and gender equality issues related to the project research are properly considered and any relevant conventions are respected.</w:t>
            </w:r>
          </w:p>
          <w:p w14:paraId="09FBC4C1" w14:textId="105E07E1" w:rsidR="48217AC4" w:rsidRDefault="48217AC4" w:rsidP="48217AC4">
            <w:pPr>
              <w:jc w:val="both"/>
            </w:pPr>
            <w:r w:rsidRPr="48217AC4">
              <w:t xml:space="preserve"> </w:t>
            </w:r>
          </w:p>
          <w:p w14:paraId="12CD0926" w14:textId="09B98DFD" w:rsidR="48217AC4" w:rsidRDefault="48217AC4" w:rsidP="48217AC4">
            <w:pPr>
              <w:jc w:val="both"/>
            </w:pPr>
            <w:r w:rsidRPr="48217AC4">
              <w:rPr>
                <w:b/>
                <w:bCs/>
              </w:rPr>
              <w:t>T1.3 Quality and Risk management (Lead: ISINNOVA, Participants: WP LEADERS)</w:t>
            </w:r>
            <w:r w:rsidRPr="48217AC4">
              <w:t xml:space="preserve"> This task will create a plan for the identification of risks and definition of procedures for their mitigation and resolution. This will be included in </w:t>
            </w:r>
            <w:r w:rsidRPr="48217AC4">
              <w:rPr>
                <w:highlight w:val="yellow"/>
              </w:rPr>
              <w:t>DX.X</w:t>
            </w:r>
            <w:r w:rsidRPr="48217AC4">
              <w:t xml:space="preserve">. This task will guarantee that the scientific and technical results of the project have been produced based on high quality standards. It will implement and maintain a quality assurance plan that will provide a single point of reference on the quality that will be governed during the project. Moreover, this task will deal with any potential risks and perform and evaluated within the whole project duration. The methodology to be followed for risk management consists of four steps: a) risk identification where areas of potential risk will be identified and classified, b) risk quantification </w:t>
            </w:r>
            <w:r w:rsidRPr="48217AC4">
              <w:lastRenderedPageBreak/>
              <w:t>where the probability of events will be determined and the consequences associated with their occurrence will be examined, c) risk response where methods will be produced to reduce or control the risk, and d) risk control and report where lessons learnt will be documented.</w:t>
            </w:r>
          </w:p>
          <w:p w14:paraId="3E378812" w14:textId="07889E70" w:rsidR="48217AC4" w:rsidRDefault="48217AC4" w:rsidP="48217AC4">
            <w:pPr>
              <w:jc w:val="both"/>
            </w:pPr>
            <w:r w:rsidRPr="48217AC4">
              <w:t xml:space="preserve"> </w:t>
            </w:r>
          </w:p>
          <w:p w14:paraId="300EEDFE" w14:textId="203D5764" w:rsidR="48217AC4" w:rsidRDefault="48217AC4" w:rsidP="48217AC4">
            <w:pPr>
              <w:jc w:val="both"/>
            </w:pPr>
            <w:r w:rsidRPr="48217AC4">
              <w:rPr>
                <w:b/>
                <w:bCs/>
              </w:rPr>
              <w:t>T1.4 Ethical issues and data management</w:t>
            </w:r>
            <w:r w:rsidRPr="48217AC4">
              <w:t xml:space="preserve"> </w:t>
            </w:r>
            <w:r w:rsidRPr="48217AC4">
              <w:rPr>
                <w:b/>
                <w:bCs/>
              </w:rPr>
              <w:t>(Lead: ICL, Participants: WP LEADERS)</w:t>
            </w:r>
          </w:p>
          <w:p w14:paraId="1E9D9F6E" w14:textId="47DEBC25" w:rsidR="48217AC4" w:rsidRDefault="48217AC4" w:rsidP="48217AC4">
            <w:pPr>
              <w:jc w:val="both"/>
            </w:pPr>
            <w:r w:rsidRPr="48217AC4">
              <w:t xml:space="preserve">This task will establish processes for handling all likely legal or ethical issues according to section </w:t>
            </w:r>
            <w:r w:rsidRPr="48217AC4">
              <w:rPr>
                <w:highlight w:val="yellow"/>
              </w:rPr>
              <w:t>5 (Ethics and Security)</w:t>
            </w:r>
            <w:r w:rsidRPr="48217AC4">
              <w:t xml:space="preserve">. An </w:t>
            </w:r>
            <w:r w:rsidRPr="48217AC4">
              <w:rPr>
                <w:highlight w:val="yellow"/>
              </w:rPr>
              <w:t>Ethics &amp; Privacy Officer (EPO)</w:t>
            </w:r>
            <w:r w:rsidRPr="48217AC4">
              <w:t xml:space="preserve">, in charge of providing advice about how to </w:t>
            </w:r>
            <w:proofErr w:type="spellStart"/>
            <w:r w:rsidRPr="48217AC4">
              <w:t>to</w:t>
            </w:r>
            <w:proofErr w:type="spellEnd"/>
            <w:r w:rsidRPr="48217AC4">
              <w:t xml:space="preserve"> address any ethical issues arising in the project, will be appointed. Activities will be reported within the project’s Periodic Management Reports. It includes the following activities: a </w:t>
            </w:r>
            <w:r w:rsidRPr="48217AC4">
              <w:rPr>
                <w:highlight w:val="yellow"/>
              </w:rPr>
              <w:t>data management plan</w:t>
            </w:r>
            <w:r w:rsidRPr="48217AC4">
              <w:t xml:space="preserve"> will be developed, maintained, and implemented, outlining which data will be generated and how they will be managed during research and piloting; metadata, standards and quality assurance measures; plans for sharing data; copyright and IPR of data; data storage and back-up measures; data management roles and responsibilities as well as and ensure comparability and consistency of the collected data across the groups of interest; monitoring project activities (especially activities related to tenure of user-generated content) strictly follow legal, ethical and security procedures dictated by National and EU regulations. This will include a consideration of the GDPR, as well as social and ethical issues like privacy, human rights, gender, and cultural implications; Keeping record of all potential ethical and security issues which arise as the groups of interest are running and prototypes are evaluated; Ensuring that Social Science Humanities (SSH) is embedded in the project as an enabler of Responsible Research Innovation (RRI).</w:t>
            </w:r>
          </w:p>
          <w:p w14:paraId="0712230D" w14:textId="6A20BB0A" w:rsidR="48217AC4" w:rsidRDefault="48217AC4" w:rsidP="48217AC4">
            <w:pPr>
              <w:jc w:val="both"/>
            </w:pPr>
            <w:r w:rsidRPr="48217AC4">
              <w:t xml:space="preserve"> </w:t>
            </w:r>
          </w:p>
          <w:p w14:paraId="51345972" w14:textId="394514A6" w:rsidR="48217AC4" w:rsidRDefault="48217AC4" w:rsidP="48217AC4">
            <w:pPr>
              <w:jc w:val="both"/>
            </w:pPr>
            <w:r w:rsidRPr="48217AC4">
              <w:rPr>
                <w:b/>
                <w:bCs/>
              </w:rPr>
              <w:t>DELIVERABLES</w:t>
            </w:r>
          </w:p>
          <w:p w14:paraId="0C635CFC" w14:textId="159B839B" w:rsidR="48217AC4" w:rsidRDefault="48217AC4" w:rsidP="48217AC4">
            <w:pPr>
              <w:pStyle w:val="ListParagraph"/>
              <w:numPr>
                <w:ilvl w:val="0"/>
                <w:numId w:val="3"/>
              </w:numPr>
              <w:jc w:val="both"/>
            </w:pPr>
            <w:r w:rsidRPr="48217AC4">
              <w:t>Project Management Handbook – M3 (Definition of the meetings, representatives of each partner and WP leaders, internal communication strategy and risk and contingency plan)</w:t>
            </w:r>
          </w:p>
          <w:p w14:paraId="1ACE1EC0" w14:textId="70568E5B" w:rsidR="48217AC4" w:rsidRDefault="48217AC4" w:rsidP="48217AC4">
            <w:pPr>
              <w:pStyle w:val="ListParagraph"/>
              <w:numPr>
                <w:ilvl w:val="0"/>
                <w:numId w:val="3"/>
              </w:numPr>
              <w:jc w:val="both"/>
            </w:pPr>
            <w:r w:rsidRPr="48217AC4">
              <w:t xml:space="preserve">Data and knowledge Management plan – M6 (Definition of the items that are subjected to intellectual property and the procedures to exchange information among </w:t>
            </w:r>
            <w:proofErr w:type="spellStart"/>
            <w:r w:rsidRPr="48217AC4">
              <w:t>thepartners</w:t>
            </w:r>
            <w:proofErr w:type="spellEnd"/>
            <w:r w:rsidRPr="48217AC4">
              <w:t>. Updates will be informed during project reports)</w:t>
            </w:r>
          </w:p>
          <w:p w14:paraId="6F610060" w14:textId="2FC7FB66" w:rsidR="48217AC4" w:rsidRDefault="48217AC4" w:rsidP="48217AC4">
            <w:pPr>
              <w:pStyle w:val="ListParagraph"/>
              <w:numPr>
                <w:ilvl w:val="0"/>
                <w:numId w:val="3"/>
              </w:numPr>
              <w:jc w:val="both"/>
            </w:pPr>
            <w:r w:rsidRPr="48217AC4">
              <w:t>Ethics report – one per period– M18 – M24 - M36 (Addressed the ethical requirements)</w:t>
            </w:r>
          </w:p>
          <w:p w14:paraId="25DC091A" w14:textId="4F76851C" w:rsidR="48217AC4" w:rsidRDefault="48217AC4" w:rsidP="48217AC4">
            <w:pPr>
              <w:pStyle w:val="ListParagraph"/>
              <w:numPr>
                <w:ilvl w:val="0"/>
                <w:numId w:val="3"/>
              </w:numPr>
              <w:jc w:val="both"/>
            </w:pPr>
            <w:r w:rsidRPr="48217AC4">
              <w:t>Intermediate Progress report M12 – M24 – M26 (Report of the scientific and technical activities carried out in the project)</w:t>
            </w:r>
          </w:p>
          <w:p w14:paraId="5E32C835" w14:textId="1C27B072" w:rsidR="48217AC4" w:rsidRDefault="48217AC4" w:rsidP="48217AC4">
            <w:pPr>
              <w:pStyle w:val="ListParagraph"/>
              <w:numPr>
                <w:ilvl w:val="0"/>
                <w:numId w:val="3"/>
              </w:numPr>
              <w:jc w:val="both"/>
            </w:pPr>
            <w:r w:rsidRPr="48217AC4">
              <w:t>Final report M42</w:t>
            </w:r>
          </w:p>
          <w:p w14:paraId="50BD7677" w14:textId="297E772A" w:rsidR="48217AC4" w:rsidRDefault="48217AC4" w:rsidP="48217AC4">
            <w:pPr>
              <w:jc w:val="both"/>
            </w:pPr>
            <w:r w:rsidRPr="48217AC4">
              <w:t xml:space="preserve"> </w:t>
            </w:r>
          </w:p>
          <w:p w14:paraId="0488B297" w14:textId="670A56C3" w:rsidR="48217AC4" w:rsidRDefault="48217AC4" w:rsidP="48217AC4">
            <w:pPr>
              <w:jc w:val="both"/>
            </w:pPr>
            <w:r w:rsidRPr="48217AC4">
              <w:rPr>
                <w:b/>
                <w:bCs/>
              </w:rPr>
              <w:t>MILESTONES</w:t>
            </w:r>
          </w:p>
          <w:p w14:paraId="079EC076" w14:textId="7533A8AB" w:rsidR="48217AC4" w:rsidRDefault="48217AC4" w:rsidP="48217AC4">
            <w:pPr>
              <w:pStyle w:val="ListParagraph"/>
              <w:numPr>
                <w:ilvl w:val="0"/>
                <w:numId w:val="4"/>
              </w:numPr>
              <w:jc w:val="both"/>
            </w:pPr>
            <w:r w:rsidRPr="48217AC4">
              <w:t>Kick off meeting organised M2</w:t>
            </w:r>
          </w:p>
          <w:p w14:paraId="57A3AE08" w14:textId="0CA2D708" w:rsidR="48217AC4" w:rsidRDefault="48217AC4" w:rsidP="48217AC4">
            <w:pPr>
              <w:pStyle w:val="ListParagraph"/>
              <w:numPr>
                <w:ilvl w:val="0"/>
                <w:numId w:val="4"/>
              </w:numPr>
              <w:jc w:val="both"/>
            </w:pPr>
            <w:r w:rsidRPr="48217AC4">
              <w:t>Project management handbook submitted M3</w:t>
            </w:r>
          </w:p>
          <w:p w14:paraId="06CBE9F0" w14:textId="6E523138" w:rsidR="48217AC4" w:rsidRDefault="48217AC4" w:rsidP="48217AC4">
            <w:pPr>
              <w:pStyle w:val="ListParagraph"/>
              <w:numPr>
                <w:ilvl w:val="0"/>
                <w:numId w:val="4"/>
              </w:numPr>
              <w:jc w:val="both"/>
            </w:pPr>
            <w:r w:rsidRPr="48217AC4">
              <w:t>Data management plan submitted M6</w:t>
            </w:r>
          </w:p>
        </w:tc>
      </w:tr>
    </w:tbl>
    <w:p w14:paraId="298476AE" w14:textId="7D01F697" w:rsidR="0715BCBE" w:rsidRDefault="48217AC4" w:rsidP="48217AC4">
      <w:pPr>
        <w:jc w:val="both"/>
        <w:rPr>
          <w:i/>
          <w:iCs/>
          <w:color w:val="1F4E79" w:themeColor="accent1" w:themeShade="80"/>
          <w:sz w:val="20"/>
          <w:szCs w:val="20"/>
        </w:rPr>
      </w:pPr>
      <w:r w:rsidRPr="48217AC4">
        <w:t xml:space="preserve"> </w:t>
      </w:r>
    </w:p>
    <w:p w14:paraId="251B64F8" w14:textId="77777777" w:rsidR="003D5218" w:rsidRDefault="003D5218">
      <w:r>
        <w:br w:type="page"/>
      </w:r>
    </w:p>
    <w:tbl>
      <w:tblPr>
        <w:tblW w:w="0" w:type="auto"/>
        <w:tblLook w:val="06A0" w:firstRow="1" w:lastRow="0" w:firstColumn="1" w:lastColumn="0" w:noHBand="1" w:noVBand="1"/>
      </w:tblPr>
      <w:tblGrid>
        <w:gridCol w:w="3529"/>
        <w:gridCol w:w="6655"/>
      </w:tblGrid>
      <w:tr w:rsidR="0715BCBE" w14:paraId="3D3D801F" w14:textId="77777777" w:rsidTr="0715BCBE">
        <w:trPr>
          <w:trHeight w:val="300"/>
        </w:trPr>
        <w:tc>
          <w:tcPr>
            <w:tcW w:w="3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732594" w14:textId="0CD366CC" w:rsidR="0715BCBE" w:rsidRDefault="0715BCBE" w:rsidP="0715BCBE">
            <w:r w:rsidRPr="0715BCBE">
              <w:rPr>
                <w:b/>
                <w:bCs/>
              </w:rPr>
              <w:lastRenderedPageBreak/>
              <w:t xml:space="preserve">Work package number </w:t>
            </w:r>
          </w:p>
        </w:tc>
        <w:tc>
          <w:tcPr>
            <w:tcW w:w="6659" w:type="dxa"/>
            <w:tcBorders>
              <w:top w:val="single" w:sz="8" w:space="0" w:color="auto"/>
              <w:left w:val="single" w:sz="8" w:space="0" w:color="auto"/>
              <w:bottom w:val="single" w:sz="8" w:space="0" w:color="auto"/>
              <w:right w:val="single" w:sz="8" w:space="0" w:color="auto"/>
            </w:tcBorders>
            <w:tcMar>
              <w:left w:w="108" w:type="dxa"/>
              <w:right w:w="108" w:type="dxa"/>
            </w:tcMar>
          </w:tcPr>
          <w:p w14:paraId="1711BCEE" w14:textId="7B7F9ED9" w:rsidR="0715BCBE" w:rsidRDefault="0715BCBE" w:rsidP="0715BCBE">
            <w:r w:rsidRPr="0715BCBE">
              <w:t>2</w:t>
            </w:r>
          </w:p>
        </w:tc>
      </w:tr>
      <w:tr w:rsidR="0715BCBE" w14:paraId="3D026624" w14:textId="77777777" w:rsidTr="0715BCBE">
        <w:trPr>
          <w:trHeight w:val="300"/>
        </w:trPr>
        <w:tc>
          <w:tcPr>
            <w:tcW w:w="3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629A9F" w14:textId="287CBAB5" w:rsidR="0715BCBE" w:rsidRDefault="0715BCBE" w:rsidP="0715BCBE">
            <w:r w:rsidRPr="0715BCBE">
              <w:rPr>
                <w:b/>
                <w:bCs/>
              </w:rPr>
              <w:t>Work package title</w:t>
            </w:r>
          </w:p>
        </w:tc>
        <w:tc>
          <w:tcPr>
            <w:tcW w:w="6659" w:type="dxa"/>
            <w:tcBorders>
              <w:top w:val="single" w:sz="8" w:space="0" w:color="auto"/>
              <w:left w:val="single" w:sz="8" w:space="0" w:color="auto"/>
              <w:bottom w:val="single" w:sz="8" w:space="0" w:color="auto"/>
              <w:right w:val="single" w:sz="8" w:space="0" w:color="auto"/>
            </w:tcBorders>
            <w:tcMar>
              <w:left w:w="108" w:type="dxa"/>
              <w:right w:w="108" w:type="dxa"/>
            </w:tcMar>
          </w:tcPr>
          <w:p w14:paraId="5A1E2C14" w14:textId="40EC3F03" w:rsidR="0715BCBE" w:rsidRDefault="0715BCBE" w:rsidP="0715BCBE">
            <w:r w:rsidRPr="0715BCBE">
              <w:rPr>
                <w:color w:val="282828"/>
              </w:rPr>
              <w:t>Ethics</w:t>
            </w:r>
          </w:p>
        </w:tc>
      </w:tr>
    </w:tbl>
    <w:p w14:paraId="5F105EC6" w14:textId="0A0AB00E" w:rsidR="0715BCBE" w:rsidRDefault="0715BCBE" w:rsidP="0715BCBE">
      <w:pPr>
        <w:jc w:val="both"/>
      </w:pPr>
      <w:r w:rsidRPr="0715BCBE">
        <w:rPr>
          <w:b/>
          <w:bCs/>
          <w:sz w:val="12"/>
          <w:szCs w:val="12"/>
        </w:rPr>
        <w:t xml:space="preserve"> </w:t>
      </w:r>
    </w:p>
    <w:tbl>
      <w:tblPr>
        <w:tblW w:w="0" w:type="auto"/>
        <w:tblLook w:val="06A0" w:firstRow="1" w:lastRow="0" w:firstColumn="1" w:lastColumn="0" w:noHBand="1" w:noVBand="1"/>
      </w:tblPr>
      <w:tblGrid>
        <w:gridCol w:w="10184"/>
      </w:tblGrid>
      <w:tr w:rsidR="0715BCBE" w14:paraId="07725E11" w14:textId="77777777" w:rsidTr="0715BCBE">
        <w:trPr>
          <w:trHeight w:val="300"/>
        </w:trPr>
        <w:tc>
          <w:tcPr>
            <w:tcW w:w="10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559CA" w14:textId="1460AA8B" w:rsidR="0715BCBE" w:rsidRDefault="0715BCBE" w:rsidP="0715BCBE">
            <w:r w:rsidRPr="0715BCBE">
              <w:rPr>
                <w:b/>
                <w:bCs/>
              </w:rPr>
              <w:t>Objectives</w:t>
            </w:r>
          </w:p>
          <w:p w14:paraId="202AEC06" w14:textId="7C3BCD3B" w:rsidR="0715BCBE" w:rsidRDefault="0715BCBE" w:rsidP="0715BCBE">
            <w:r w:rsidRPr="0715BCBE">
              <w:t xml:space="preserve"> </w:t>
            </w:r>
          </w:p>
        </w:tc>
      </w:tr>
    </w:tbl>
    <w:p w14:paraId="4F4BFF22" w14:textId="7CEF99E5" w:rsidR="0715BCBE" w:rsidRDefault="0715BCBE" w:rsidP="0715BCBE">
      <w:pPr>
        <w:jc w:val="both"/>
      </w:pPr>
      <w:r w:rsidRPr="0715BCBE">
        <w:rPr>
          <w:sz w:val="12"/>
          <w:szCs w:val="12"/>
        </w:rPr>
        <w:t xml:space="preserve"> </w:t>
      </w:r>
    </w:p>
    <w:tbl>
      <w:tblPr>
        <w:tblW w:w="0" w:type="auto"/>
        <w:tblLook w:val="06A0" w:firstRow="1" w:lastRow="0" w:firstColumn="1" w:lastColumn="0" w:noHBand="1" w:noVBand="1"/>
      </w:tblPr>
      <w:tblGrid>
        <w:gridCol w:w="10184"/>
      </w:tblGrid>
      <w:tr w:rsidR="0715BCBE" w14:paraId="0D5EF8B6" w14:textId="77777777" w:rsidTr="0715BCBE">
        <w:trPr>
          <w:trHeight w:val="2100"/>
        </w:trPr>
        <w:tc>
          <w:tcPr>
            <w:tcW w:w="10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3138A4" w14:textId="58D9E8DF" w:rsidR="0715BCBE" w:rsidRDefault="0715BCBE" w:rsidP="0715BCBE">
            <w:pPr>
              <w:jc w:val="both"/>
            </w:pPr>
            <w:r w:rsidRPr="0715BCBE">
              <w:rPr>
                <w:b/>
                <w:bCs/>
              </w:rPr>
              <w:t>Description of work</w:t>
            </w:r>
          </w:p>
          <w:p w14:paraId="140AA529" w14:textId="6CB8002E" w:rsidR="0715BCBE" w:rsidRDefault="0715BCBE" w:rsidP="0715BCBE">
            <w:r w:rsidRPr="0715BCBE">
              <w:rPr>
                <w:b/>
                <w:bCs/>
                <w:sz w:val="21"/>
                <w:szCs w:val="21"/>
              </w:rPr>
              <w:t>T2.1 TITLE (lead partner – role of participants)</w:t>
            </w:r>
          </w:p>
          <w:p w14:paraId="2F139391" w14:textId="06720CD2" w:rsidR="0715BCBE" w:rsidRDefault="0715BCBE" w:rsidP="0715BCBE">
            <w:r w:rsidRPr="0715BCBE">
              <w:t xml:space="preserve">Insert here text </w:t>
            </w:r>
          </w:p>
          <w:p w14:paraId="41E067F7" w14:textId="50EC41A3" w:rsidR="0715BCBE" w:rsidRDefault="0715BCBE" w:rsidP="0715BCBE">
            <w:r w:rsidRPr="0715BCBE">
              <w:t xml:space="preserve"> </w:t>
            </w:r>
          </w:p>
          <w:p w14:paraId="00CF0587" w14:textId="57259A74" w:rsidR="0715BCBE" w:rsidRDefault="0715BCBE" w:rsidP="0715BCBE">
            <w:r w:rsidRPr="0715BCBE">
              <w:rPr>
                <w:b/>
                <w:bCs/>
                <w:sz w:val="21"/>
                <w:szCs w:val="21"/>
              </w:rPr>
              <w:t>T2.n TITLE (lead partner – role of participants)</w:t>
            </w:r>
          </w:p>
          <w:p w14:paraId="064A9651" w14:textId="0F2E4F24" w:rsidR="0715BCBE" w:rsidRDefault="0715BCBE" w:rsidP="0715BCBE">
            <w:r w:rsidRPr="0715BCBE">
              <w:t xml:space="preserve">Insert here text </w:t>
            </w:r>
          </w:p>
        </w:tc>
      </w:tr>
    </w:tbl>
    <w:p w14:paraId="1FAE2AAD" w14:textId="78B4A76F" w:rsidR="0715BCBE" w:rsidRDefault="0715BCBE" w:rsidP="0715BCBE">
      <w:pPr>
        <w:jc w:val="both"/>
      </w:pPr>
      <w:r w:rsidRPr="0715BCBE">
        <w:rPr>
          <w:b/>
          <w:bCs/>
        </w:rPr>
        <w:t xml:space="preserve"> </w:t>
      </w:r>
    </w:p>
    <w:p w14:paraId="26FD552A"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20"/>
        <w:gridCol w:w="6664"/>
      </w:tblGrid>
      <w:tr w:rsidR="0715BCBE" w14:paraId="006F465F" w14:textId="77777777" w:rsidTr="0715BCBE">
        <w:trPr>
          <w:trHeight w:val="300"/>
        </w:trPr>
        <w:tc>
          <w:tcPr>
            <w:tcW w:w="35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9AB271" w14:textId="53176526" w:rsidR="0715BCBE" w:rsidRDefault="0715BCBE" w:rsidP="0715BCBE">
            <w:r w:rsidRPr="0715BCBE">
              <w:rPr>
                <w:b/>
                <w:bCs/>
              </w:rPr>
              <w:lastRenderedPageBreak/>
              <w:t xml:space="preserve">Work package number </w:t>
            </w:r>
          </w:p>
        </w:tc>
        <w:tc>
          <w:tcPr>
            <w:tcW w:w="6667" w:type="dxa"/>
            <w:tcBorders>
              <w:top w:val="single" w:sz="8" w:space="0" w:color="auto"/>
              <w:left w:val="single" w:sz="8" w:space="0" w:color="auto"/>
              <w:bottom w:val="single" w:sz="8" w:space="0" w:color="auto"/>
              <w:right w:val="single" w:sz="8" w:space="0" w:color="auto"/>
            </w:tcBorders>
            <w:tcMar>
              <w:left w:w="108" w:type="dxa"/>
              <w:right w:w="108" w:type="dxa"/>
            </w:tcMar>
          </w:tcPr>
          <w:p w14:paraId="4557D41B" w14:textId="375C8F6D" w:rsidR="0715BCBE" w:rsidRDefault="0715BCBE" w:rsidP="0715BCBE">
            <w:r w:rsidRPr="0715BCBE">
              <w:t>3</w:t>
            </w:r>
          </w:p>
        </w:tc>
      </w:tr>
      <w:tr w:rsidR="0715BCBE" w14:paraId="5061B1B3" w14:textId="77777777" w:rsidTr="0715BCBE">
        <w:trPr>
          <w:trHeight w:val="300"/>
        </w:trPr>
        <w:tc>
          <w:tcPr>
            <w:tcW w:w="35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3102C1" w14:textId="741C1F4B" w:rsidR="0715BCBE" w:rsidRDefault="0715BCBE" w:rsidP="0715BCBE">
            <w:r w:rsidRPr="0715BCBE">
              <w:rPr>
                <w:b/>
                <w:bCs/>
              </w:rPr>
              <w:t>Work package title</w:t>
            </w:r>
          </w:p>
        </w:tc>
        <w:tc>
          <w:tcPr>
            <w:tcW w:w="6667" w:type="dxa"/>
            <w:tcBorders>
              <w:top w:val="single" w:sz="8" w:space="0" w:color="auto"/>
              <w:left w:val="single" w:sz="8" w:space="0" w:color="auto"/>
              <w:bottom w:val="single" w:sz="8" w:space="0" w:color="auto"/>
              <w:right w:val="single" w:sz="8" w:space="0" w:color="auto"/>
            </w:tcBorders>
            <w:tcMar>
              <w:left w:w="108" w:type="dxa"/>
              <w:right w:w="108" w:type="dxa"/>
            </w:tcMar>
          </w:tcPr>
          <w:p w14:paraId="56D9BDAA" w14:textId="3BA661B1" w:rsidR="0715BCBE" w:rsidRDefault="0715BCBE" w:rsidP="0715BCBE">
            <w:r w:rsidRPr="0715BCBE">
              <w:rPr>
                <w:color w:val="282828"/>
              </w:rPr>
              <w:t>NCD Evidence Framework &amp; Disease Context</w:t>
            </w:r>
          </w:p>
        </w:tc>
      </w:tr>
    </w:tbl>
    <w:p w14:paraId="4070D76F" w14:textId="081535E7" w:rsidR="0715BCBE" w:rsidRDefault="0715BCBE" w:rsidP="0715BCBE">
      <w:pPr>
        <w:jc w:val="both"/>
      </w:pPr>
      <w:r w:rsidRPr="0715BCBE">
        <w:rPr>
          <w:b/>
          <w:bCs/>
          <w:sz w:val="12"/>
          <w:szCs w:val="12"/>
        </w:rPr>
        <w:t xml:space="preserve"> </w:t>
      </w:r>
    </w:p>
    <w:tbl>
      <w:tblPr>
        <w:tblW w:w="0" w:type="auto"/>
        <w:tblLook w:val="06A0" w:firstRow="1" w:lastRow="0" w:firstColumn="1" w:lastColumn="0" w:noHBand="1" w:noVBand="1"/>
      </w:tblPr>
      <w:tblGrid>
        <w:gridCol w:w="10155"/>
      </w:tblGrid>
      <w:tr w:rsidR="0715BCBE" w14:paraId="05750A71" w14:textId="77777777" w:rsidTr="0715BCBE">
        <w:trPr>
          <w:trHeight w:val="300"/>
        </w:trPr>
        <w:tc>
          <w:tcPr>
            <w:tcW w:w="10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8A258C" w14:textId="23F5EB47" w:rsidR="0715BCBE" w:rsidRDefault="0715BCBE" w:rsidP="0715BCBE">
            <w:r w:rsidRPr="0715BCBE">
              <w:rPr>
                <w:b/>
                <w:bCs/>
              </w:rPr>
              <w:t>Objectives</w:t>
            </w:r>
          </w:p>
          <w:p w14:paraId="4B2E6927" w14:textId="5CF639AC" w:rsidR="0715BCBE" w:rsidRDefault="0715BCBE" w:rsidP="0715BCBE">
            <w:r w:rsidRPr="0715BCBE">
              <w:t xml:space="preserve"> </w:t>
            </w:r>
          </w:p>
        </w:tc>
      </w:tr>
    </w:tbl>
    <w:p w14:paraId="415753F7" w14:textId="04292B99" w:rsidR="0715BCBE" w:rsidRDefault="0715BCBE" w:rsidP="0715BCBE">
      <w:pPr>
        <w:jc w:val="both"/>
      </w:pPr>
      <w:r w:rsidRPr="0715BCBE">
        <w:rPr>
          <w:sz w:val="12"/>
          <w:szCs w:val="12"/>
        </w:rPr>
        <w:t xml:space="preserve"> </w:t>
      </w:r>
    </w:p>
    <w:tbl>
      <w:tblPr>
        <w:tblW w:w="0" w:type="auto"/>
        <w:tblLook w:val="06A0" w:firstRow="1" w:lastRow="0" w:firstColumn="1" w:lastColumn="0" w:noHBand="1" w:noVBand="1"/>
      </w:tblPr>
      <w:tblGrid>
        <w:gridCol w:w="10170"/>
      </w:tblGrid>
      <w:tr w:rsidR="0715BCBE" w14:paraId="5850371B"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4A1F91" w14:textId="74F90873" w:rsidR="0715BCBE" w:rsidRDefault="0715BCBE" w:rsidP="0715BCBE">
            <w:pPr>
              <w:jc w:val="both"/>
            </w:pPr>
            <w:r w:rsidRPr="0715BCBE">
              <w:rPr>
                <w:b/>
                <w:bCs/>
              </w:rPr>
              <w:t>Description of work</w:t>
            </w:r>
          </w:p>
          <w:p w14:paraId="74F20202" w14:textId="121C03DF" w:rsidR="006A0274" w:rsidRPr="006A0274" w:rsidRDefault="006A0274" w:rsidP="006A0274">
            <w:pPr>
              <w:rPr>
                <w:b/>
                <w:bCs/>
                <w:sz w:val="21"/>
                <w:szCs w:val="21"/>
                <w:lang w:val="en-US"/>
              </w:rPr>
            </w:pPr>
            <w:r w:rsidRPr="006A0274">
              <w:rPr>
                <w:b/>
                <w:bCs/>
                <w:sz w:val="21"/>
                <w:szCs w:val="21"/>
              </w:rPr>
              <w:t>T</w:t>
            </w:r>
            <w:r>
              <w:rPr>
                <w:b/>
                <w:bCs/>
                <w:sz w:val="21"/>
                <w:szCs w:val="21"/>
              </w:rPr>
              <w:t>3</w:t>
            </w:r>
            <w:r w:rsidRPr="006A0274">
              <w:rPr>
                <w:b/>
                <w:bCs/>
                <w:sz w:val="21"/>
                <w:szCs w:val="21"/>
              </w:rPr>
              <w:t xml:space="preserve">.1 </w:t>
            </w:r>
            <w:r w:rsidR="00792EC8">
              <w:rPr>
                <w:b/>
                <w:bCs/>
                <w:sz w:val="21"/>
                <w:szCs w:val="21"/>
              </w:rPr>
              <w:t>Obesity and metabolic health</w:t>
            </w:r>
            <w:r w:rsidRPr="006A0274">
              <w:rPr>
                <w:b/>
                <w:bCs/>
                <w:sz w:val="21"/>
                <w:szCs w:val="21"/>
              </w:rPr>
              <w:t xml:space="preserve"> (Lead: </w:t>
            </w:r>
            <w:r>
              <w:rPr>
                <w:b/>
                <w:bCs/>
                <w:sz w:val="21"/>
                <w:szCs w:val="21"/>
              </w:rPr>
              <w:t>AUMC</w:t>
            </w:r>
            <w:r w:rsidRPr="006A0274">
              <w:rPr>
                <w:b/>
                <w:bCs/>
                <w:sz w:val="21"/>
                <w:szCs w:val="21"/>
              </w:rPr>
              <w:t xml:space="preserve">; Participants: </w:t>
            </w:r>
            <w:r w:rsidR="008D4F0B">
              <w:rPr>
                <w:b/>
                <w:bCs/>
                <w:sz w:val="21"/>
                <w:szCs w:val="21"/>
              </w:rPr>
              <w:t>ICL</w:t>
            </w:r>
            <w:r w:rsidRPr="006A0274">
              <w:rPr>
                <w:b/>
                <w:bCs/>
                <w:sz w:val="21"/>
                <w:szCs w:val="21"/>
              </w:rPr>
              <w:t>)</w:t>
            </w:r>
          </w:p>
          <w:p w14:paraId="687F1F59" w14:textId="77777777" w:rsidR="006A0274" w:rsidRDefault="006A0274" w:rsidP="006A0274">
            <w:r w:rsidRPr="0715BCBE">
              <w:t xml:space="preserve">Insert here text </w:t>
            </w:r>
          </w:p>
          <w:p w14:paraId="51B3B8FA" w14:textId="77777777" w:rsidR="006A0274" w:rsidRDefault="006A0274" w:rsidP="0715BCBE">
            <w:pPr>
              <w:rPr>
                <w:b/>
                <w:bCs/>
                <w:sz w:val="21"/>
                <w:szCs w:val="21"/>
              </w:rPr>
            </w:pPr>
          </w:p>
          <w:p w14:paraId="7BE6CC8D" w14:textId="0F618D4C" w:rsidR="006A0274" w:rsidRPr="006A0274" w:rsidRDefault="006A0274" w:rsidP="006A0274">
            <w:pPr>
              <w:rPr>
                <w:b/>
                <w:bCs/>
                <w:sz w:val="21"/>
                <w:szCs w:val="21"/>
                <w:lang w:val="en-US"/>
              </w:rPr>
            </w:pPr>
            <w:r w:rsidRPr="006A0274">
              <w:rPr>
                <w:b/>
                <w:bCs/>
                <w:sz w:val="21"/>
                <w:szCs w:val="21"/>
              </w:rPr>
              <w:t>T</w:t>
            </w:r>
            <w:r>
              <w:rPr>
                <w:b/>
                <w:bCs/>
                <w:sz w:val="21"/>
                <w:szCs w:val="21"/>
              </w:rPr>
              <w:t>3</w:t>
            </w:r>
            <w:r w:rsidRPr="006A0274">
              <w:rPr>
                <w:b/>
                <w:bCs/>
                <w:sz w:val="21"/>
                <w:szCs w:val="21"/>
              </w:rPr>
              <w:t>.</w:t>
            </w:r>
            <w:r>
              <w:rPr>
                <w:b/>
                <w:bCs/>
                <w:sz w:val="21"/>
                <w:szCs w:val="21"/>
              </w:rPr>
              <w:t>2</w:t>
            </w:r>
            <w:r w:rsidRPr="006A0274">
              <w:rPr>
                <w:b/>
                <w:bCs/>
                <w:sz w:val="21"/>
                <w:szCs w:val="21"/>
              </w:rPr>
              <w:t xml:space="preserve"> </w:t>
            </w:r>
            <w:r w:rsidR="00792EC8">
              <w:rPr>
                <w:b/>
                <w:bCs/>
                <w:sz w:val="21"/>
                <w:szCs w:val="21"/>
              </w:rPr>
              <w:t>M</w:t>
            </w:r>
            <w:r>
              <w:rPr>
                <w:b/>
                <w:bCs/>
                <w:sz w:val="21"/>
                <w:szCs w:val="21"/>
              </w:rPr>
              <w:t>ental health</w:t>
            </w:r>
            <w:r w:rsidRPr="006A0274">
              <w:rPr>
                <w:b/>
                <w:bCs/>
                <w:sz w:val="21"/>
                <w:szCs w:val="21"/>
              </w:rPr>
              <w:t xml:space="preserve"> (Lead: </w:t>
            </w:r>
            <w:r>
              <w:rPr>
                <w:b/>
                <w:bCs/>
                <w:sz w:val="21"/>
                <w:szCs w:val="21"/>
              </w:rPr>
              <w:t>NIJZ</w:t>
            </w:r>
            <w:r w:rsidRPr="006A0274">
              <w:rPr>
                <w:b/>
                <w:bCs/>
                <w:sz w:val="21"/>
                <w:szCs w:val="21"/>
              </w:rPr>
              <w:t xml:space="preserve">; Participants: </w:t>
            </w:r>
            <w:r w:rsidR="008D4F0B">
              <w:rPr>
                <w:b/>
                <w:bCs/>
                <w:sz w:val="21"/>
                <w:szCs w:val="21"/>
              </w:rPr>
              <w:t>BIOG</w:t>
            </w:r>
            <w:r w:rsidRPr="006A0274">
              <w:rPr>
                <w:b/>
                <w:bCs/>
                <w:sz w:val="21"/>
                <w:szCs w:val="21"/>
              </w:rPr>
              <w:t>)</w:t>
            </w:r>
          </w:p>
          <w:p w14:paraId="60423CAD" w14:textId="77777777" w:rsidR="006A0274" w:rsidRDefault="006A0274" w:rsidP="006A0274">
            <w:r w:rsidRPr="0715BCBE">
              <w:t xml:space="preserve">Insert here text </w:t>
            </w:r>
          </w:p>
          <w:p w14:paraId="182C708F" w14:textId="77777777" w:rsidR="006A0274" w:rsidRDefault="006A0274" w:rsidP="0715BCBE">
            <w:pPr>
              <w:rPr>
                <w:b/>
                <w:bCs/>
                <w:sz w:val="21"/>
                <w:szCs w:val="21"/>
              </w:rPr>
            </w:pPr>
          </w:p>
          <w:p w14:paraId="11B1CE9C" w14:textId="3FBE803D" w:rsidR="006A0274" w:rsidRPr="006A0274" w:rsidRDefault="006A0274" w:rsidP="006A0274">
            <w:pPr>
              <w:rPr>
                <w:b/>
                <w:bCs/>
                <w:sz w:val="21"/>
                <w:szCs w:val="21"/>
                <w:lang w:val="en-US"/>
              </w:rPr>
            </w:pPr>
            <w:r w:rsidRPr="006A0274">
              <w:rPr>
                <w:b/>
                <w:bCs/>
                <w:sz w:val="21"/>
                <w:szCs w:val="21"/>
              </w:rPr>
              <w:t>T</w:t>
            </w:r>
            <w:r>
              <w:rPr>
                <w:b/>
                <w:bCs/>
                <w:sz w:val="21"/>
                <w:szCs w:val="21"/>
              </w:rPr>
              <w:t>3</w:t>
            </w:r>
            <w:r w:rsidRPr="006A0274">
              <w:rPr>
                <w:b/>
                <w:bCs/>
                <w:sz w:val="21"/>
                <w:szCs w:val="21"/>
              </w:rPr>
              <w:t>.</w:t>
            </w:r>
            <w:r>
              <w:rPr>
                <w:b/>
                <w:bCs/>
                <w:sz w:val="21"/>
                <w:szCs w:val="21"/>
              </w:rPr>
              <w:t>3</w:t>
            </w:r>
            <w:r w:rsidRPr="006A0274">
              <w:rPr>
                <w:b/>
                <w:bCs/>
                <w:sz w:val="21"/>
                <w:szCs w:val="21"/>
              </w:rPr>
              <w:t xml:space="preserve"> </w:t>
            </w:r>
            <w:r w:rsidR="00792EC8">
              <w:rPr>
                <w:b/>
                <w:bCs/>
                <w:sz w:val="21"/>
                <w:szCs w:val="21"/>
              </w:rPr>
              <w:t>A</w:t>
            </w:r>
            <w:r>
              <w:rPr>
                <w:b/>
                <w:bCs/>
                <w:sz w:val="21"/>
                <w:szCs w:val="21"/>
              </w:rPr>
              <w:t>ddiction</w:t>
            </w:r>
            <w:r w:rsidR="00792EC8">
              <w:rPr>
                <w:b/>
                <w:bCs/>
                <w:sz w:val="21"/>
                <w:szCs w:val="21"/>
              </w:rPr>
              <w:t>s</w:t>
            </w:r>
            <w:r>
              <w:rPr>
                <w:b/>
                <w:bCs/>
                <w:sz w:val="21"/>
                <w:szCs w:val="21"/>
              </w:rPr>
              <w:t xml:space="preserve"> </w:t>
            </w:r>
            <w:r w:rsidRPr="006A0274">
              <w:rPr>
                <w:b/>
                <w:bCs/>
                <w:sz w:val="21"/>
                <w:szCs w:val="21"/>
              </w:rPr>
              <w:t xml:space="preserve">(Lead: </w:t>
            </w:r>
            <w:r>
              <w:rPr>
                <w:b/>
                <w:bCs/>
                <w:sz w:val="21"/>
                <w:szCs w:val="21"/>
              </w:rPr>
              <w:t>NYU</w:t>
            </w:r>
            <w:r w:rsidRPr="006A0274">
              <w:rPr>
                <w:b/>
                <w:bCs/>
                <w:sz w:val="21"/>
                <w:szCs w:val="21"/>
              </w:rPr>
              <w:t xml:space="preserve">; Participants: </w:t>
            </w:r>
            <w:r>
              <w:rPr>
                <w:b/>
                <w:bCs/>
                <w:sz w:val="21"/>
                <w:szCs w:val="21"/>
              </w:rPr>
              <w:t>TBC</w:t>
            </w:r>
            <w:r w:rsidRPr="006A0274">
              <w:rPr>
                <w:b/>
                <w:bCs/>
                <w:sz w:val="21"/>
                <w:szCs w:val="21"/>
              </w:rPr>
              <w:t>)</w:t>
            </w:r>
          </w:p>
          <w:p w14:paraId="6D4FF5AF" w14:textId="77777777" w:rsidR="006A0274" w:rsidRDefault="006A0274" w:rsidP="006A0274">
            <w:r w:rsidRPr="0715BCBE">
              <w:t xml:space="preserve">Insert here text </w:t>
            </w:r>
          </w:p>
          <w:p w14:paraId="3F85F917" w14:textId="77777777" w:rsidR="006A0274" w:rsidRDefault="006A0274" w:rsidP="0715BCBE">
            <w:pPr>
              <w:rPr>
                <w:b/>
                <w:bCs/>
                <w:sz w:val="21"/>
                <w:szCs w:val="21"/>
              </w:rPr>
            </w:pPr>
          </w:p>
          <w:p w14:paraId="0FFB1CC0" w14:textId="77996E84" w:rsidR="0715BCBE" w:rsidRDefault="0715BCBE" w:rsidP="0715BCBE"/>
        </w:tc>
      </w:tr>
    </w:tbl>
    <w:p w14:paraId="348A49E9" w14:textId="7A718C38" w:rsidR="0715BCBE" w:rsidRDefault="0715BCBE" w:rsidP="0715BCBE">
      <w:pPr>
        <w:jc w:val="both"/>
      </w:pPr>
      <w:r w:rsidRPr="0715BCBE">
        <w:rPr>
          <w:b/>
          <w:bCs/>
        </w:rPr>
        <w:t xml:space="preserve"> </w:t>
      </w:r>
    </w:p>
    <w:p w14:paraId="5FB8E248"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19"/>
        <w:gridCol w:w="6665"/>
      </w:tblGrid>
      <w:tr w:rsidR="0715BCBE" w14:paraId="4F24819D"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37F7A1" w14:textId="1A884C25" w:rsidR="0715BCBE" w:rsidRDefault="0715BCBE" w:rsidP="0715BCBE">
            <w:r w:rsidRPr="0715BCBE">
              <w:rPr>
                <w:b/>
                <w:bCs/>
              </w:rPr>
              <w:lastRenderedPageBreak/>
              <w:t xml:space="preserve">Work package number </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10D85434" w14:textId="74B2FF68" w:rsidR="0715BCBE" w:rsidRDefault="0715BCBE" w:rsidP="0715BCBE">
            <w:r w:rsidRPr="0715BCBE">
              <w:t>4</w:t>
            </w:r>
          </w:p>
        </w:tc>
      </w:tr>
      <w:tr w:rsidR="0715BCBE" w14:paraId="2FEB7F3D"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76261F" w14:textId="100A67C8" w:rsidR="0715BCBE" w:rsidRDefault="0715BCBE" w:rsidP="0715BCBE">
            <w:r w:rsidRPr="0715BCBE">
              <w:rPr>
                <w:b/>
                <w:bCs/>
              </w:rPr>
              <w:t>Work package title</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411231FF" w14:textId="3D3E341A" w:rsidR="0715BCBE" w:rsidRDefault="0715BCBE" w:rsidP="0715BCBE">
            <w:r w:rsidRPr="0715BCBE">
              <w:t>Multi-component intervention 1, Co-creation and planning: lower secondary school/early adolescence (age 12-1</w:t>
            </w:r>
            <w:r w:rsidR="003E01DB">
              <w:t>8</w:t>
            </w:r>
            <w:r w:rsidRPr="0715BCBE">
              <w:t>)</w:t>
            </w:r>
          </w:p>
        </w:tc>
      </w:tr>
    </w:tbl>
    <w:p w14:paraId="0CD2EA87" w14:textId="521C2C09" w:rsidR="0715BCBE" w:rsidRDefault="0715BCBE" w:rsidP="0715BCBE">
      <w:pPr>
        <w:jc w:val="both"/>
      </w:pPr>
      <w:r w:rsidRPr="0715BCBE">
        <w:rPr>
          <w:b/>
          <w:bCs/>
          <w:sz w:val="12"/>
          <w:szCs w:val="12"/>
        </w:rPr>
        <w:t xml:space="preserve"> </w:t>
      </w:r>
    </w:p>
    <w:tbl>
      <w:tblPr>
        <w:tblW w:w="0" w:type="auto"/>
        <w:tblLook w:val="06A0" w:firstRow="1" w:lastRow="0" w:firstColumn="1" w:lastColumn="0" w:noHBand="1" w:noVBand="1"/>
      </w:tblPr>
      <w:tblGrid>
        <w:gridCol w:w="10170"/>
      </w:tblGrid>
      <w:tr w:rsidR="0715BCBE" w14:paraId="2AC445B5" w14:textId="77777777" w:rsidTr="0715BCBE">
        <w:trPr>
          <w:trHeight w:val="3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D3AAE" w14:textId="72777EEC" w:rsidR="0715BCBE" w:rsidRPr="0083369D" w:rsidRDefault="0715BCBE" w:rsidP="0715BCBE">
            <w:r w:rsidRPr="0083369D">
              <w:rPr>
                <w:b/>
                <w:bCs/>
              </w:rPr>
              <w:t>Objectives</w:t>
            </w:r>
          </w:p>
          <w:p w14:paraId="70BF8CCF" w14:textId="77777777" w:rsidR="00004F67" w:rsidRPr="00004F67" w:rsidRDefault="00004F67" w:rsidP="00004F67">
            <w:r w:rsidRPr="00004F67">
              <w:rPr>
                <w:b/>
                <w:bCs/>
              </w:rPr>
              <w:t>O4.1</w:t>
            </w:r>
            <w:r w:rsidRPr="00004F67">
              <w:rPr>
                <w:lang w:val="en-US"/>
              </w:rPr>
              <w:t xml:space="preserve"> Identify, select and adapt multi-component interventions targeting obesity, mental health diseases and addictions</w:t>
            </w:r>
          </w:p>
          <w:p w14:paraId="4AA79ABC" w14:textId="77777777" w:rsidR="00004F67" w:rsidRPr="0083369D" w:rsidRDefault="00004F67" w:rsidP="00004F67"/>
          <w:p w14:paraId="7F89C4C6" w14:textId="0E721BF7" w:rsidR="00004F67" w:rsidRPr="00004F67" w:rsidRDefault="00004F67" w:rsidP="00004F67">
            <w:pPr>
              <w:rPr>
                <w:lang w:val="en-US"/>
              </w:rPr>
            </w:pPr>
            <w:r w:rsidRPr="00004F67">
              <w:rPr>
                <w:b/>
                <w:bCs/>
                <w:lang w:val="en-US"/>
              </w:rPr>
              <w:t>O4.2</w:t>
            </w:r>
            <w:r w:rsidRPr="00004F67">
              <w:rPr>
                <w:lang w:val="en-US"/>
              </w:rPr>
              <w:t xml:space="preserve"> Explore to what extent meaningful youth involvement and co-creative processes with educators, health professionals and parents influence the successful or unsuccessful implementation of such interventions </w:t>
            </w:r>
          </w:p>
          <w:p w14:paraId="05D2105E" w14:textId="50A54E74" w:rsidR="0715BCBE" w:rsidRDefault="0715BCBE" w:rsidP="0715BCBE"/>
        </w:tc>
      </w:tr>
    </w:tbl>
    <w:p w14:paraId="25B63F7B" w14:textId="74145F90" w:rsidR="0715BCBE" w:rsidRDefault="0715BCBE" w:rsidP="0715BCBE">
      <w:pPr>
        <w:jc w:val="both"/>
      </w:pPr>
      <w:r w:rsidRPr="0715BCBE">
        <w:rPr>
          <w:sz w:val="12"/>
          <w:szCs w:val="12"/>
        </w:rPr>
        <w:t xml:space="preserve"> </w:t>
      </w:r>
    </w:p>
    <w:tbl>
      <w:tblPr>
        <w:tblW w:w="0" w:type="auto"/>
        <w:tblLook w:val="06A0" w:firstRow="1" w:lastRow="0" w:firstColumn="1" w:lastColumn="0" w:noHBand="1" w:noVBand="1"/>
      </w:tblPr>
      <w:tblGrid>
        <w:gridCol w:w="10170"/>
      </w:tblGrid>
      <w:tr w:rsidR="0715BCBE" w14:paraId="4A211603"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AC18DB" w14:textId="1B0C0E7D" w:rsidR="0715BCBE" w:rsidRDefault="0715BCBE" w:rsidP="0715BCBE">
            <w:pPr>
              <w:jc w:val="both"/>
            </w:pPr>
            <w:r w:rsidRPr="0715BCBE">
              <w:rPr>
                <w:b/>
                <w:bCs/>
              </w:rPr>
              <w:t>Description of work</w:t>
            </w:r>
          </w:p>
          <w:p w14:paraId="28BE0E3E" w14:textId="77777777" w:rsidR="00300415" w:rsidRDefault="00300415" w:rsidP="00300415">
            <w:pPr>
              <w:widowControl w:val="0"/>
              <w:rPr>
                <w:b/>
                <w:bCs/>
                <w:sz w:val="21"/>
                <w:szCs w:val="21"/>
              </w:rPr>
            </w:pPr>
          </w:p>
          <w:p w14:paraId="711CBE07" w14:textId="3CB39727" w:rsidR="00300415" w:rsidRPr="00300415" w:rsidRDefault="00300415" w:rsidP="00300415">
            <w:pPr>
              <w:widowControl w:val="0"/>
              <w:rPr>
                <w:b/>
                <w:bCs/>
                <w:sz w:val="21"/>
                <w:szCs w:val="21"/>
                <w:highlight w:val="yellow"/>
                <w:lang w:eastAsia="en-US"/>
              </w:rPr>
            </w:pPr>
            <w:r w:rsidRPr="00300415">
              <w:rPr>
                <w:b/>
                <w:bCs/>
                <w:sz w:val="21"/>
                <w:szCs w:val="21"/>
                <w:highlight w:val="yellow"/>
                <w:lang w:eastAsia="en-US"/>
              </w:rPr>
              <w:t xml:space="preserve">T4.1: Youth co-creation and local planning approach [NIPHI] </w:t>
            </w:r>
          </w:p>
          <w:p w14:paraId="76B3173D" w14:textId="16505E78" w:rsidR="00300415" w:rsidRPr="00300415" w:rsidRDefault="00300415" w:rsidP="00300415">
            <w:pPr>
              <w:widowControl w:val="0"/>
              <w:rPr>
                <w:b/>
                <w:bCs/>
                <w:sz w:val="21"/>
                <w:szCs w:val="21"/>
                <w:highlight w:val="yellow"/>
                <w:lang w:eastAsia="en-US"/>
              </w:rPr>
            </w:pPr>
            <w:r w:rsidRPr="00300415">
              <w:rPr>
                <w:b/>
                <w:bCs/>
                <w:sz w:val="21"/>
                <w:szCs w:val="21"/>
                <w:highlight w:val="yellow"/>
                <w:lang w:eastAsia="en-US"/>
              </w:rPr>
              <w:t xml:space="preserve">T4.2: Health and Digital Literacy [CHOICE, ICL] </w:t>
            </w:r>
          </w:p>
          <w:p w14:paraId="4F8F7360" w14:textId="014E70E2" w:rsidR="00300415" w:rsidRPr="00300415" w:rsidRDefault="00300415" w:rsidP="00300415">
            <w:pPr>
              <w:widowControl w:val="0"/>
              <w:rPr>
                <w:b/>
                <w:bCs/>
                <w:sz w:val="21"/>
                <w:szCs w:val="21"/>
                <w:highlight w:val="yellow"/>
                <w:lang w:eastAsia="en-US"/>
              </w:rPr>
            </w:pPr>
            <w:r w:rsidRPr="00300415">
              <w:rPr>
                <w:b/>
                <w:bCs/>
                <w:sz w:val="21"/>
                <w:szCs w:val="21"/>
                <w:highlight w:val="yellow"/>
                <w:lang w:eastAsia="en-US"/>
              </w:rPr>
              <w:t xml:space="preserve">T4.3: Self-management of digital media use [NYU] </w:t>
            </w:r>
          </w:p>
          <w:p w14:paraId="4D49F939" w14:textId="76FE22B5" w:rsidR="00300415" w:rsidRPr="00300415" w:rsidRDefault="00300415" w:rsidP="00300415">
            <w:pPr>
              <w:widowControl w:val="0"/>
              <w:rPr>
                <w:b/>
                <w:bCs/>
                <w:sz w:val="21"/>
                <w:szCs w:val="21"/>
                <w:highlight w:val="yellow"/>
                <w:lang w:eastAsia="en-US"/>
              </w:rPr>
            </w:pPr>
            <w:r w:rsidRPr="00300415">
              <w:rPr>
                <w:b/>
                <w:bCs/>
                <w:sz w:val="21"/>
                <w:szCs w:val="21"/>
                <w:highlight w:val="yellow"/>
                <w:lang w:eastAsia="en-US"/>
              </w:rPr>
              <w:t xml:space="preserve">T4.4: Healthy school environments and nudges [EHN, UK] </w:t>
            </w:r>
          </w:p>
          <w:p w14:paraId="29EAE742" w14:textId="2826091F" w:rsidR="00300415" w:rsidRPr="00300415" w:rsidRDefault="00300415" w:rsidP="00300415">
            <w:pPr>
              <w:widowControl w:val="0"/>
              <w:rPr>
                <w:b/>
                <w:bCs/>
                <w:sz w:val="21"/>
                <w:szCs w:val="21"/>
                <w:lang w:eastAsia="en-US"/>
              </w:rPr>
            </w:pPr>
            <w:r w:rsidRPr="00300415">
              <w:rPr>
                <w:b/>
                <w:bCs/>
                <w:sz w:val="21"/>
                <w:szCs w:val="21"/>
                <w:highlight w:val="yellow"/>
                <w:lang w:eastAsia="en-US"/>
              </w:rPr>
              <w:t>T4.5: Resources and services [NIJZ]</w:t>
            </w:r>
            <w:r w:rsidRPr="00300415">
              <w:rPr>
                <w:b/>
                <w:bCs/>
                <w:sz w:val="21"/>
                <w:szCs w:val="21"/>
                <w:lang w:eastAsia="en-US"/>
              </w:rPr>
              <w:t xml:space="preserve"> </w:t>
            </w:r>
          </w:p>
          <w:p w14:paraId="39D93C32" w14:textId="77777777" w:rsidR="00300415" w:rsidRDefault="00300415" w:rsidP="00875E6C">
            <w:pPr>
              <w:rPr>
                <w:b/>
                <w:bCs/>
                <w:sz w:val="21"/>
                <w:szCs w:val="21"/>
              </w:rPr>
            </w:pPr>
          </w:p>
          <w:p w14:paraId="480011CE" w14:textId="77777777" w:rsidR="00300415" w:rsidRDefault="00300415" w:rsidP="00875E6C">
            <w:pPr>
              <w:rPr>
                <w:b/>
                <w:bCs/>
                <w:sz w:val="21"/>
                <w:szCs w:val="21"/>
              </w:rPr>
            </w:pPr>
          </w:p>
          <w:p w14:paraId="4DC0997F" w14:textId="43F924A8" w:rsidR="00875E6C" w:rsidRPr="00875E6C" w:rsidRDefault="00875E6C" w:rsidP="00875E6C">
            <w:pPr>
              <w:rPr>
                <w:b/>
                <w:bCs/>
                <w:sz w:val="21"/>
                <w:szCs w:val="21"/>
              </w:rPr>
            </w:pPr>
            <w:r w:rsidRPr="00875E6C">
              <w:rPr>
                <w:b/>
                <w:bCs/>
                <w:sz w:val="21"/>
                <w:szCs w:val="21"/>
              </w:rPr>
              <w:t>T4.1 Identification and selection of evidence-based intervention (</w:t>
            </w:r>
            <w:r w:rsidRPr="00875E6C">
              <w:rPr>
                <w:b/>
                <w:bCs/>
                <w:sz w:val="21"/>
                <w:szCs w:val="21"/>
                <w:highlight w:val="yellow"/>
              </w:rPr>
              <w:t>lead partner – role of participants).</w:t>
            </w:r>
          </w:p>
          <w:p w14:paraId="70CD8236" w14:textId="77777777" w:rsidR="00875E6C" w:rsidRPr="00875E6C" w:rsidRDefault="00875E6C" w:rsidP="00875E6C">
            <w:pPr>
              <w:rPr>
                <w:sz w:val="21"/>
                <w:szCs w:val="21"/>
              </w:rPr>
            </w:pPr>
            <w:r w:rsidRPr="00875E6C">
              <w:rPr>
                <w:sz w:val="21"/>
                <w:szCs w:val="21"/>
              </w:rPr>
              <w:t>This task will undertake a systematic review of evidence-based interventions targeting the three selected disease conditions, drawing on both scientific and grey literature. Only interventions that have progressed to a minimum of Technology Readiness Level (TRL) ≥5—i.e., those that have been implemented and for which outcome data have been reported—will be included. The review will encompass interventions across the following four domains: (</w:t>
            </w:r>
            <w:proofErr w:type="spellStart"/>
            <w:r w:rsidRPr="00875E6C">
              <w:rPr>
                <w:sz w:val="21"/>
                <w:szCs w:val="21"/>
              </w:rPr>
              <w:t>i</w:t>
            </w:r>
            <w:proofErr w:type="spellEnd"/>
            <w:r w:rsidRPr="00875E6C">
              <w:rPr>
                <w:sz w:val="21"/>
                <w:szCs w:val="21"/>
              </w:rPr>
              <w:t>) health and digital literacy; (ii) self-management of digital media use; (iii) healthy school environment and behavioural “nudge” interventions; and (iv) resource- and service-oriented interventions. Eligible studies will be identified through a comprehensive and reproducible search strategy, followed by systematic screening and data extraction procedures in accordance with established methodological standards. Each identified intervention will be critically appraised with respect to its effectiveness, the certainty and quality of the underlying scientific evidence, and its relevance across the different levels of the G1–G4 framework. This multi-level assessment will enable the identification of interventions that are not only effective but also scalable and contextually adaptable. In addition, particular emphasis will be placed on evaluating the extent to which the interventions explicitly address social inequalities in health. This will include assessing whether interventions are designed to reach disadvantaged populations, reduce barriers to access, or mitigate differential impacts across socioeconomic groups. The findings of this review will inform the subsequent selection and adaptation of interventions within the Z-HEALTH project, ensuring that they are both evidence-informed and equity-oriented.</w:t>
            </w:r>
          </w:p>
          <w:p w14:paraId="2D15BE77" w14:textId="77777777" w:rsidR="00875E6C" w:rsidRDefault="00875E6C" w:rsidP="00875E6C">
            <w:pPr>
              <w:rPr>
                <w:b/>
                <w:bCs/>
                <w:sz w:val="21"/>
                <w:szCs w:val="21"/>
              </w:rPr>
            </w:pPr>
          </w:p>
          <w:p w14:paraId="17095319" w14:textId="39B9EF15" w:rsidR="00875E6C" w:rsidRPr="00875E6C" w:rsidRDefault="00875E6C" w:rsidP="00875E6C">
            <w:pPr>
              <w:rPr>
                <w:b/>
                <w:bCs/>
                <w:sz w:val="21"/>
                <w:szCs w:val="21"/>
              </w:rPr>
            </w:pPr>
            <w:r w:rsidRPr="00875E6C">
              <w:rPr>
                <w:b/>
                <w:bCs/>
                <w:sz w:val="21"/>
                <w:szCs w:val="21"/>
              </w:rPr>
              <w:t>T4.2 Co-creation and involvement process at intervention sites (NIPH, PRESS lead partner – role of participants).</w:t>
            </w:r>
          </w:p>
          <w:p w14:paraId="5BC594C3" w14:textId="77777777" w:rsidR="00875E6C" w:rsidRPr="00875E6C" w:rsidRDefault="00875E6C" w:rsidP="00875E6C">
            <w:pPr>
              <w:rPr>
                <w:sz w:val="21"/>
                <w:szCs w:val="21"/>
              </w:rPr>
            </w:pPr>
            <w:r w:rsidRPr="00875E6C">
              <w:rPr>
                <w:sz w:val="21"/>
                <w:szCs w:val="21"/>
              </w:rPr>
              <w:t xml:space="preserve">Across all intervention packages and participating country sites, adolescents from the target population will be actively involved to ensure that their perspectives on both content and delivery formats are systematically incorporated. In each of the three participating countries, Group Model Building (GMB) sessions will be conducted with a minimum of three stakeholder groups, comprising adolescents, educators, parents, and health professionals. Participants will be recruited through youth organisations and established youth networks, with the explicit aim of achieving gender balance and representation across diverse socio-demographic backgrounds. </w:t>
            </w:r>
          </w:p>
          <w:p w14:paraId="45E8DCE6" w14:textId="77777777" w:rsidR="00875E6C" w:rsidRPr="00875E6C" w:rsidRDefault="00875E6C" w:rsidP="00875E6C">
            <w:pPr>
              <w:rPr>
                <w:sz w:val="21"/>
                <w:szCs w:val="21"/>
              </w:rPr>
            </w:pPr>
            <w:r w:rsidRPr="00875E6C">
              <w:rPr>
                <w:sz w:val="21"/>
                <w:szCs w:val="21"/>
              </w:rPr>
              <w:t xml:space="preserve">The GMB process will facilitate the co-creation of shared conceptual models capturing the key drivers of risk behaviours related to non-communicable diseases (NCDs) within each local context. The insights generated will directly inform the adaptation, prioritisation, and implementation focus of the intervention packages, thereby enhancing their contextual relevance, acceptability, and potential effectiveness. Given the limited empirical evidence on adolescents’ perspectives regarding their involvement in intervention development, this project will place particular emphasis on documenting and analysing these experiences. A dedicated report will be produced to systematically capture youths’ reflections on their participation in the co-creation process which is lacking in the </w:t>
            </w:r>
            <w:r w:rsidRPr="00875E6C">
              <w:rPr>
                <w:sz w:val="21"/>
                <w:szCs w:val="21"/>
              </w:rPr>
              <w:lastRenderedPageBreak/>
              <w:t>literature</w:t>
            </w:r>
            <w:r w:rsidRPr="00875E6C">
              <w:rPr>
                <w:sz w:val="21"/>
                <w:szCs w:val="21"/>
                <w:vertAlign w:val="superscript"/>
              </w:rPr>
              <w:footnoteReference w:id="2"/>
            </w:r>
            <w:r w:rsidRPr="00875E6C">
              <w:rPr>
                <w:sz w:val="21"/>
                <w:szCs w:val="21"/>
              </w:rPr>
              <w:t>, including perceived benefits, challenges, and recommendations for future practice. This component will contribute to advancing methodological knowledge on meaningful youth engagement in health promotion research and intervention design.</w:t>
            </w:r>
          </w:p>
          <w:p w14:paraId="116F3827" w14:textId="77777777" w:rsidR="00875E6C" w:rsidRPr="00875E6C" w:rsidRDefault="00875E6C" w:rsidP="00875E6C">
            <w:pPr>
              <w:rPr>
                <w:b/>
                <w:bCs/>
                <w:sz w:val="21"/>
                <w:szCs w:val="21"/>
              </w:rPr>
            </w:pPr>
            <w:r w:rsidRPr="00875E6C">
              <w:rPr>
                <w:b/>
                <w:bCs/>
                <w:sz w:val="21"/>
                <w:szCs w:val="21"/>
              </w:rPr>
              <w:t>T4.3 Developing intervention packages and implementation plans</w:t>
            </w:r>
          </w:p>
          <w:p w14:paraId="72C9E66A" w14:textId="77777777" w:rsidR="00875E6C" w:rsidRPr="00875E6C" w:rsidRDefault="00875E6C" w:rsidP="00875E6C">
            <w:pPr>
              <w:rPr>
                <w:sz w:val="21"/>
                <w:szCs w:val="21"/>
                <w:lang w:val="en-US"/>
              </w:rPr>
            </w:pPr>
            <w:r w:rsidRPr="00875E6C">
              <w:rPr>
                <w:sz w:val="21"/>
                <w:szCs w:val="21"/>
              </w:rPr>
              <w:t>The interventions to be included in the intervention packages will address key risk factors associated with obesity, mental health disorders, and addictions among adolescents. Each intervention will be systematically described with reference to its theoretical foundations, including the explicit definition and operationalisation of core concepts (e.g., health literacy</w:t>
            </w:r>
            <w:r w:rsidRPr="00875E6C">
              <w:rPr>
                <w:sz w:val="21"/>
                <w:szCs w:val="21"/>
                <w:vertAlign w:val="superscript"/>
              </w:rPr>
              <w:footnoteReference w:id="3"/>
            </w:r>
            <w:r w:rsidRPr="00875E6C">
              <w:rPr>
                <w:sz w:val="21"/>
                <w:szCs w:val="21"/>
              </w:rPr>
              <w:t xml:space="preserve">). Furthermore, the underlying logical assumptions of each intervention will be critically assessed to determine the extent to which they align with established principles of evidence-informed health intervention design. To ensure a comprehensive understanding of the broader context in which these interventions operate, a systems perspective will be applied in the assessment. This will involve analysing the mechanisms, patterns, and dynamic interactions that contribute to the targeted disease burden, with the aim of identifying potential leverage points for sustainable system-level change. Such an approach will facilitate the integration of both individual- and structural-level determinants of health. The interventions will be iteratively adapted to the specific contexts of the participating sites, informed by insights generated through Group Model Building (GMB) sessions and ongoing engagement with adolescents. This co-creative process will ensure that the interventions are contextually relevant, culturally appropriate, and responsive to the needs and preferences of the target population. Finally, a dedicated implementation plan will be developed for each intervention. These plans will outline key components, delivery strategies, stakeholder roles, and evaluation considerations, thereby supporting the feasibility, scalability, and sustainability of the intervention packages across diverse settings. The preliminary focus of the intervention in the four policy domains are </w:t>
            </w:r>
            <w:r w:rsidRPr="00875E6C">
              <w:rPr>
                <w:sz w:val="21"/>
                <w:szCs w:val="21"/>
                <w:u w:val="single"/>
              </w:rPr>
              <w:t>(</w:t>
            </w:r>
            <w:proofErr w:type="spellStart"/>
            <w:r w:rsidRPr="00875E6C">
              <w:rPr>
                <w:sz w:val="21"/>
                <w:szCs w:val="21"/>
                <w:u w:val="single"/>
              </w:rPr>
              <w:t>i</w:t>
            </w:r>
            <w:proofErr w:type="spellEnd"/>
            <w:r w:rsidRPr="00875E6C">
              <w:rPr>
                <w:sz w:val="21"/>
                <w:szCs w:val="21"/>
                <w:u w:val="single"/>
              </w:rPr>
              <w:t>) health and digital literacy:</w:t>
            </w:r>
            <w:r w:rsidRPr="00875E6C">
              <w:rPr>
                <w:sz w:val="21"/>
                <w:szCs w:val="21"/>
              </w:rPr>
              <w:t xml:space="preserve"> school-based provision of health literacy lessons, digital literacy lessons and on management exposure of misinformation; </w:t>
            </w:r>
            <w:r w:rsidRPr="00875E6C">
              <w:rPr>
                <w:sz w:val="21"/>
                <w:szCs w:val="21"/>
                <w:u w:val="single"/>
              </w:rPr>
              <w:t>(ii) self-management of digital media use:</w:t>
            </w:r>
            <w:r w:rsidRPr="00875E6C">
              <w:rPr>
                <w:sz w:val="21"/>
                <w:szCs w:val="21"/>
              </w:rPr>
              <w:t xml:space="preserve"> intervention for adolescents (and their families) on content access management tools, sleep duration and attention controls and notification frequency reduction tools; (iii) healthy school environment and behavioural “nudge” interventions: schools as health promoting environment, school food environment, physical activity interventions and smartphone-free schools; and (iv) </w:t>
            </w:r>
            <w:r w:rsidRPr="00875E6C">
              <w:rPr>
                <w:sz w:val="21"/>
                <w:szCs w:val="21"/>
                <w:u w:val="single"/>
              </w:rPr>
              <w:t>resource- and service-oriented interventions:</w:t>
            </w:r>
            <w:r w:rsidRPr="00875E6C">
              <w:rPr>
                <w:sz w:val="21"/>
                <w:szCs w:val="21"/>
              </w:rPr>
              <w:t xml:space="preserve"> empowering adolescents to request and obtain safe advice and counselling from trained staff on health issues they may be experiencing or may be concerned about. </w:t>
            </w:r>
          </w:p>
          <w:p w14:paraId="73EAA69A" w14:textId="77777777" w:rsidR="00696936" w:rsidRDefault="00696936" w:rsidP="0715BCBE"/>
          <w:p w14:paraId="247EA02C" w14:textId="7C44EF6B" w:rsidR="0715BCBE" w:rsidRDefault="0715BCBE" w:rsidP="0715BCBE"/>
        </w:tc>
      </w:tr>
      <w:tr w:rsidR="00A27669" w14:paraId="0D858A7B"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6C343" w14:textId="77777777" w:rsidR="00AC1156" w:rsidRPr="00AC1156" w:rsidRDefault="00AC1156" w:rsidP="00AC1156">
            <w:pPr>
              <w:jc w:val="both"/>
              <w:rPr>
                <w:b/>
                <w:bCs/>
              </w:rPr>
            </w:pPr>
            <w:r w:rsidRPr="00AC1156">
              <w:rPr>
                <w:b/>
                <w:bCs/>
              </w:rPr>
              <w:t>Deliverables</w:t>
            </w:r>
          </w:p>
          <w:p w14:paraId="778DA094" w14:textId="77777777" w:rsidR="00AC1156" w:rsidRPr="00AC1156" w:rsidRDefault="00AC1156" w:rsidP="00AC1156">
            <w:pPr>
              <w:jc w:val="both"/>
            </w:pPr>
            <w:r w:rsidRPr="00AC1156">
              <w:t xml:space="preserve">D4.1 Systematic review  </w:t>
            </w:r>
          </w:p>
          <w:p w14:paraId="0F56334C" w14:textId="77777777" w:rsidR="00AC1156" w:rsidRPr="00AC1156" w:rsidRDefault="00AC1156" w:rsidP="00AC1156">
            <w:pPr>
              <w:jc w:val="both"/>
            </w:pPr>
            <w:r w:rsidRPr="00AC1156">
              <w:t>D4.2 Report on youth involvement in intervention development</w:t>
            </w:r>
          </w:p>
          <w:p w14:paraId="78FAA2E1" w14:textId="77777777" w:rsidR="00AC1156" w:rsidRPr="00AC1156" w:rsidRDefault="00AC1156" w:rsidP="00AC1156">
            <w:pPr>
              <w:jc w:val="both"/>
            </w:pPr>
            <w:r w:rsidRPr="00AC1156">
              <w:t>D4.3 Health and digital literacy intervention description</w:t>
            </w:r>
          </w:p>
          <w:p w14:paraId="42477B63" w14:textId="77777777" w:rsidR="00AC1156" w:rsidRPr="00AC1156" w:rsidRDefault="00AC1156" w:rsidP="00AC1156">
            <w:pPr>
              <w:jc w:val="both"/>
            </w:pPr>
            <w:r w:rsidRPr="00AC1156">
              <w:t>D4.4 Self-management of digital media use intervention description</w:t>
            </w:r>
          </w:p>
          <w:p w14:paraId="4B556326" w14:textId="77777777" w:rsidR="00AC1156" w:rsidRPr="00AC1156" w:rsidRDefault="00AC1156" w:rsidP="00AC1156">
            <w:pPr>
              <w:jc w:val="both"/>
            </w:pPr>
            <w:r w:rsidRPr="00AC1156">
              <w:t>D4.5 Healthy school environments and nudges intervention description</w:t>
            </w:r>
          </w:p>
          <w:p w14:paraId="25C98F02" w14:textId="77777777" w:rsidR="00AC1156" w:rsidRPr="00AC1156" w:rsidRDefault="00AC1156" w:rsidP="00AC1156">
            <w:pPr>
              <w:jc w:val="both"/>
            </w:pPr>
            <w:r w:rsidRPr="00AC1156">
              <w:t>D4.6 Resource- and service-oriented intervention description</w:t>
            </w:r>
          </w:p>
          <w:p w14:paraId="40801046" w14:textId="77777777" w:rsidR="00AC1156" w:rsidRPr="00AC1156" w:rsidRDefault="00AC1156" w:rsidP="00AC1156">
            <w:pPr>
              <w:jc w:val="both"/>
              <w:rPr>
                <w:b/>
                <w:bCs/>
              </w:rPr>
            </w:pPr>
          </w:p>
          <w:p w14:paraId="0BFD3163" w14:textId="77777777" w:rsidR="00AC1156" w:rsidRPr="00AC1156" w:rsidRDefault="00AC1156" w:rsidP="00AC1156">
            <w:pPr>
              <w:jc w:val="both"/>
              <w:rPr>
                <w:b/>
                <w:bCs/>
              </w:rPr>
            </w:pPr>
            <w:r w:rsidRPr="00AC1156">
              <w:rPr>
                <w:b/>
                <w:bCs/>
              </w:rPr>
              <w:t>Milestones</w:t>
            </w:r>
          </w:p>
          <w:p w14:paraId="0B5C6248" w14:textId="77777777" w:rsidR="00AC1156" w:rsidRPr="00AC1156" w:rsidRDefault="00AC1156" w:rsidP="00AC1156">
            <w:pPr>
              <w:jc w:val="both"/>
            </w:pPr>
            <w:r w:rsidRPr="00AC1156">
              <w:t>M4.1 Intervention packages and implementation plans finalized</w:t>
            </w:r>
          </w:p>
          <w:p w14:paraId="72332A49" w14:textId="77777777" w:rsidR="00AC1156" w:rsidRPr="00AC1156" w:rsidRDefault="00AC1156" w:rsidP="00AC1156">
            <w:pPr>
              <w:jc w:val="both"/>
              <w:rPr>
                <w:b/>
                <w:bCs/>
              </w:rPr>
            </w:pPr>
          </w:p>
          <w:p w14:paraId="2FEA3353" w14:textId="77777777" w:rsidR="00AC1156" w:rsidRPr="00AC1156" w:rsidRDefault="00AC1156" w:rsidP="00AC1156">
            <w:pPr>
              <w:jc w:val="both"/>
              <w:rPr>
                <w:b/>
                <w:bCs/>
              </w:rPr>
            </w:pPr>
            <w:r w:rsidRPr="00AC1156">
              <w:rPr>
                <w:b/>
                <w:bCs/>
              </w:rPr>
              <w:t>Critical risks</w:t>
            </w:r>
          </w:p>
          <w:p w14:paraId="2A800D28" w14:textId="46BFB3EB" w:rsidR="00A27669" w:rsidRPr="00AC1156" w:rsidRDefault="00AC1156" w:rsidP="00AC1156">
            <w:pPr>
              <w:jc w:val="both"/>
            </w:pPr>
            <w:r w:rsidRPr="00AC1156">
              <w:t>Individual-oriented interventions are typically designed on the implicit premise that individuals possess a sufficient degree of agency to modify their behaviours in response to health-promoting initiatives. However, this assumption may not hold uniformly across populations. Such interventions risk disproportionately benefiting individuals who already possess the requisite social, economic, and environmental resources to enact healthier choices, as well as those residing in contexts where such choices are more readily accessible. Consequently, a critical concern is that individual-oriented approaches may inadvertently exacerbate existing social inequalities in health by systematically privileging more advantaged groups.</w:t>
            </w:r>
          </w:p>
        </w:tc>
      </w:tr>
    </w:tbl>
    <w:p w14:paraId="756A7C5C" w14:textId="5724DB8A" w:rsidR="0715BCBE" w:rsidRDefault="0715BCBE" w:rsidP="0715BCBE">
      <w:pPr>
        <w:jc w:val="both"/>
      </w:pPr>
      <w:r w:rsidRPr="0715BCBE">
        <w:rPr>
          <w:b/>
          <w:bCs/>
        </w:rPr>
        <w:lastRenderedPageBreak/>
        <w:t xml:space="preserve"> </w:t>
      </w:r>
    </w:p>
    <w:p w14:paraId="52CDBC92"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19"/>
        <w:gridCol w:w="6665"/>
      </w:tblGrid>
      <w:tr w:rsidR="0715BCBE" w14:paraId="4636EA77"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F2C472" w14:textId="02437B01" w:rsidR="0715BCBE" w:rsidRDefault="0715BCBE" w:rsidP="0715BCBE">
            <w:r w:rsidRPr="0715BCBE">
              <w:rPr>
                <w:b/>
                <w:bCs/>
              </w:rPr>
              <w:lastRenderedPageBreak/>
              <w:t xml:space="preserve">Work package number </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2E2C0F00" w14:textId="3C00A5F2" w:rsidR="0715BCBE" w:rsidRDefault="0715BCBE" w:rsidP="0715BCBE">
            <w:r w:rsidRPr="0715BCBE">
              <w:t>5</w:t>
            </w:r>
          </w:p>
        </w:tc>
      </w:tr>
      <w:tr w:rsidR="0715BCBE" w14:paraId="33A46F14"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219C82" w14:textId="65E5F992" w:rsidR="0715BCBE" w:rsidRDefault="0715BCBE" w:rsidP="0715BCBE">
            <w:r w:rsidRPr="0715BCBE">
              <w:rPr>
                <w:b/>
                <w:bCs/>
              </w:rPr>
              <w:t>Work package title</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29900A80" w14:textId="53107D3F" w:rsidR="0715BCBE" w:rsidRDefault="0715BCBE" w:rsidP="0715BCBE">
            <w:r w:rsidRPr="0715BCBE">
              <w:t>Multi-component intervention 1, Co-creation and planning: upper secondary school/late adolescence (age 1</w:t>
            </w:r>
            <w:r w:rsidR="003E01DB">
              <w:t>8-25</w:t>
            </w:r>
            <w:r w:rsidRPr="0715BCBE">
              <w:t>)</w:t>
            </w:r>
          </w:p>
        </w:tc>
      </w:tr>
    </w:tbl>
    <w:p w14:paraId="53CF7FD8" w14:textId="6DA9DBBA" w:rsidR="0715BCBE" w:rsidRDefault="0715BCBE" w:rsidP="0715BCBE">
      <w:pPr>
        <w:jc w:val="both"/>
      </w:pPr>
      <w:r w:rsidRPr="0715BCBE">
        <w:rPr>
          <w:b/>
          <w:bCs/>
          <w:sz w:val="12"/>
          <w:szCs w:val="12"/>
        </w:rPr>
        <w:t xml:space="preserve"> </w:t>
      </w:r>
    </w:p>
    <w:tbl>
      <w:tblPr>
        <w:tblW w:w="0" w:type="auto"/>
        <w:tblLook w:val="06A0" w:firstRow="1" w:lastRow="0" w:firstColumn="1" w:lastColumn="0" w:noHBand="1" w:noVBand="1"/>
      </w:tblPr>
      <w:tblGrid>
        <w:gridCol w:w="10184"/>
      </w:tblGrid>
      <w:tr w:rsidR="0715BCBE" w14:paraId="380A9B88" w14:textId="77777777" w:rsidTr="0715BCBE">
        <w:trPr>
          <w:trHeight w:val="300"/>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8A9B24" w14:textId="67A0C2BF" w:rsidR="0715BCBE" w:rsidRDefault="0715BCBE" w:rsidP="0715BCBE">
            <w:r w:rsidRPr="0715BCBE">
              <w:rPr>
                <w:b/>
                <w:bCs/>
              </w:rPr>
              <w:t>Objectives</w:t>
            </w:r>
          </w:p>
          <w:p w14:paraId="181CDC23" w14:textId="7E276BBB" w:rsidR="0715BCBE" w:rsidRDefault="0715BCBE" w:rsidP="0715BCBE">
            <w:r w:rsidRPr="0715BCBE">
              <w:t xml:space="preserve"> </w:t>
            </w:r>
          </w:p>
        </w:tc>
      </w:tr>
    </w:tbl>
    <w:p w14:paraId="72478F2B" w14:textId="42CF0784" w:rsidR="0715BCBE" w:rsidRDefault="0715BCBE" w:rsidP="0715BCBE">
      <w:pPr>
        <w:jc w:val="both"/>
      </w:pPr>
      <w:r w:rsidRPr="0715BCBE">
        <w:rPr>
          <w:sz w:val="12"/>
          <w:szCs w:val="12"/>
        </w:rPr>
        <w:t xml:space="preserve"> </w:t>
      </w:r>
    </w:p>
    <w:tbl>
      <w:tblPr>
        <w:tblW w:w="0" w:type="auto"/>
        <w:tblLook w:val="06A0" w:firstRow="1" w:lastRow="0" w:firstColumn="1" w:lastColumn="0" w:noHBand="1" w:noVBand="1"/>
      </w:tblPr>
      <w:tblGrid>
        <w:gridCol w:w="10184"/>
      </w:tblGrid>
      <w:tr w:rsidR="0715BCBE" w14:paraId="491393BA" w14:textId="77777777" w:rsidTr="0715BCBE">
        <w:trPr>
          <w:trHeight w:val="2100"/>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E4CE8" w14:textId="75268DEA" w:rsidR="0715BCBE" w:rsidRPr="008A3C72" w:rsidRDefault="0715BCBE" w:rsidP="0715BCBE">
            <w:pPr>
              <w:jc w:val="both"/>
              <w:rPr>
                <w:sz w:val="22"/>
                <w:szCs w:val="22"/>
              </w:rPr>
            </w:pPr>
            <w:r w:rsidRPr="008A3C72">
              <w:rPr>
                <w:b/>
                <w:bCs/>
                <w:sz w:val="22"/>
                <w:szCs w:val="22"/>
              </w:rPr>
              <w:t>Description of work</w:t>
            </w:r>
          </w:p>
          <w:p w14:paraId="710739AD" w14:textId="77777777" w:rsidR="008A3C72" w:rsidRPr="008A3C72" w:rsidRDefault="008A3C72" w:rsidP="0715BCBE">
            <w:pPr>
              <w:rPr>
                <w:sz w:val="22"/>
                <w:szCs w:val="22"/>
              </w:rPr>
            </w:pPr>
          </w:p>
          <w:p w14:paraId="415ADA5E" w14:textId="16E565FF" w:rsidR="008A3C72" w:rsidRPr="008A3C72" w:rsidRDefault="008A3C72" w:rsidP="008A3C72">
            <w:pPr>
              <w:rPr>
                <w:b/>
                <w:bCs/>
                <w:sz w:val="22"/>
                <w:szCs w:val="22"/>
              </w:rPr>
            </w:pPr>
            <w:r w:rsidRPr="008A3C72">
              <w:rPr>
                <w:b/>
                <w:bCs/>
                <w:sz w:val="22"/>
                <w:szCs w:val="22"/>
              </w:rPr>
              <w:t xml:space="preserve">T5.1 </w:t>
            </w:r>
            <w:r w:rsidR="00C07E23">
              <w:rPr>
                <w:b/>
                <w:bCs/>
              </w:rPr>
              <w:t>Youth c</w:t>
            </w:r>
            <w:r w:rsidRPr="008A3C72">
              <w:rPr>
                <w:b/>
                <w:bCs/>
                <w:sz w:val="22"/>
                <w:szCs w:val="22"/>
              </w:rPr>
              <w:t xml:space="preserve">o-creation and local planning (Lead: </w:t>
            </w:r>
            <w:proofErr w:type="spellStart"/>
            <w:r w:rsidRPr="008A3C72">
              <w:rPr>
                <w:b/>
                <w:bCs/>
                <w:sz w:val="22"/>
                <w:szCs w:val="22"/>
              </w:rPr>
              <w:t>UoC</w:t>
            </w:r>
            <w:proofErr w:type="spellEnd"/>
            <w:r w:rsidRPr="008A3C72">
              <w:rPr>
                <w:b/>
                <w:bCs/>
                <w:sz w:val="22"/>
                <w:szCs w:val="22"/>
              </w:rPr>
              <w:t>; Participants: TBC)</w:t>
            </w:r>
          </w:p>
          <w:p w14:paraId="1FBF04F0" w14:textId="7DDDA7A5" w:rsidR="008A3C72" w:rsidRDefault="008A3C72" w:rsidP="008A3C72">
            <w:pPr>
              <w:rPr>
                <w:b/>
                <w:bCs/>
              </w:rPr>
            </w:pPr>
            <w:r w:rsidRPr="008A3C72">
              <w:rPr>
                <w:sz w:val="22"/>
                <w:szCs w:val="22"/>
              </w:rPr>
              <w:t>Insert here text</w:t>
            </w:r>
          </w:p>
          <w:p w14:paraId="794F9A41" w14:textId="77777777" w:rsidR="008A3C72" w:rsidRDefault="008A3C72" w:rsidP="008A3C72">
            <w:pPr>
              <w:rPr>
                <w:b/>
                <w:bCs/>
              </w:rPr>
            </w:pPr>
          </w:p>
          <w:p w14:paraId="557824FC" w14:textId="34E7128A" w:rsidR="008A3C72" w:rsidRPr="008A3C72" w:rsidRDefault="008A3C72" w:rsidP="008A3C72">
            <w:pPr>
              <w:rPr>
                <w:b/>
                <w:bCs/>
                <w:sz w:val="22"/>
                <w:szCs w:val="22"/>
              </w:rPr>
            </w:pPr>
            <w:r w:rsidRPr="008A3C72">
              <w:rPr>
                <w:b/>
                <w:bCs/>
                <w:sz w:val="22"/>
                <w:szCs w:val="22"/>
              </w:rPr>
              <w:t>T5.2 Health and digital literacy (</w:t>
            </w:r>
            <w:r w:rsidRPr="008A3C72">
              <w:rPr>
                <w:b/>
                <w:bCs/>
                <w:sz w:val="22"/>
                <w:szCs w:val="22"/>
                <w:highlight w:val="yellow"/>
              </w:rPr>
              <w:t xml:space="preserve">Lead: </w:t>
            </w:r>
            <w:proofErr w:type="spellStart"/>
            <w:r w:rsidRPr="008A3C72">
              <w:rPr>
                <w:b/>
                <w:bCs/>
                <w:sz w:val="22"/>
                <w:szCs w:val="22"/>
                <w:highlight w:val="yellow"/>
              </w:rPr>
              <w:t>Biosistemak</w:t>
            </w:r>
            <w:proofErr w:type="spellEnd"/>
            <w:r w:rsidRPr="008A3C72">
              <w:rPr>
                <w:b/>
                <w:bCs/>
                <w:sz w:val="22"/>
                <w:szCs w:val="22"/>
                <w:highlight w:val="yellow"/>
              </w:rPr>
              <w:t xml:space="preserve">??; </w:t>
            </w:r>
            <w:r w:rsidRPr="008A3C72">
              <w:rPr>
                <w:b/>
                <w:bCs/>
                <w:sz w:val="22"/>
                <w:szCs w:val="22"/>
              </w:rPr>
              <w:t>Participants: TBC)</w:t>
            </w:r>
          </w:p>
          <w:p w14:paraId="6E4DACB2" w14:textId="4AA4AC73" w:rsidR="008A3C72" w:rsidRDefault="008A3C72" w:rsidP="008A3C72">
            <w:pPr>
              <w:rPr>
                <w:b/>
                <w:bCs/>
              </w:rPr>
            </w:pPr>
            <w:r w:rsidRPr="008A3C72">
              <w:rPr>
                <w:sz w:val="22"/>
                <w:szCs w:val="22"/>
              </w:rPr>
              <w:t>Insert here text</w:t>
            </w:r>
          </w:p>
          <w:p w14:paraId="21A4CEF7" w14:textId="77777777" w:rsidR="008A3C72" w:rsidRDefault="008A3C72" w:rsidP="008A3C72">
            <w:pPr>
              <w:rPr>
                <w:b/>
                <w:bCs/>
              </w:rPr>
            </w:pPr>
          </w:p>
          <w:p w14:paraId="7D2FB368" w14:textId="7C319EF1" w:rsidR="008A3C72" w:rsidRPr="008A3C72" w:rsidRDefault="008A3C72" w:rsidP="008A3C72">
            <w:pPr>
              <w:rPr>
                <w:b/>
                <w:bCs/>
                <w:sz w:val="22"/>
                <w:szCs w:val="22"/>
              </w:rPr>
            </w:pPr>
            <w:r w:rsidRPr="008A3C72">
              <w:rPr>
                <w:b/>
                <w:bCs/>
                <w:sz w:val="22"/>
                <w:szCs w:val="22"/>
              </w:rPr>
              <w:t>T5.3 Device assisted monitoring and feedback (</w:t>
            </w:r>
            <w:r w:rsidRPr="008A3C72">
              <w:rPr>
                <w:b/>
                <w:bCs/>
                <w:sz w:val="22"/>
                <w:szCs w:val="22"/>
                <w:highlight w:val="yellow"/>
              </w:rPr>
              <w:t xml:space="preserve">Lead: </w:t>
            </w:r>
            <w:proofErr w:type="gramStart"/>
            <w:r w:rsidRPr="008A3C72">
              <w:rPr>
                <w:b/>
                <w:bCs/>
                <w:sz w:val="22"/>
                <w:szCs w:val="22"/>
                <w:highlight w:val="yellow"/>
              </w:rPr>
              <w:t>ICL</w:t>
            </w:r>
            <w:r w:rsidR="006F5EE1">
              <w:rPr>
                <w:b/>
                <w:bCs/>
                <w:sz w:val="22"/>
                <w:szCs w:val="22"/>
              </w:rPr>
              <w:t>?</w:t>
            </w:r>
            <w:r w:rsidRPr="008A3C72">
              <w:rPr>
                <w:b/>
                <w:bCs/>
                <w:sz w:val="22"/>
                <w:szCs w:val="22"/>
              </w:rPr>
              <w:t>;</w:t>
            </w:r>
            <w:proofErr w:type="gramEnd"/>
            <w:r w:rsidRPr="008A3C72">
              <w:rPr>
                <w:b/>
                <w:bCs/>
                <w:sz w:val="22"/>
                <w:szCs w:val="22"/>
              </w:rPr>
              <w:t xml:space="preserve"> Participants: TBC)</w:t>
            </w:r>
          </w:p>
          <w:p w14:paraId="5B6889AF" w14:textId="4A9ABAEA" w:rsidR="008A3C72" w:rsidRDefault="008A3C72" w:rsidP="008A3C72">
            <w:pPr>
              <w:rPr>
                <w:b/>
                <w:bCs/>
              </w:rPr>
            </w:pPr>
            <w:r w:rsidRPr="008A3C72">
              <w:rPr>
                <w:sz w:val="22"/>
                <w:szCs w:val="22"/>
              </w:rPr>
              <w:t>Insert here text</w:t>
            </w:r>
          </w:p>
          <w:p w14:paraId="04400549" w14:textId="77777777" w:rsidR="008A3C72" w:rsidRDefault="008A3C72" w:rsidP="008A3C72">
            <w:pPr>
              <w:rPr>
                <w:b/>
                <w:bCs/>
              </w:rPr>
            </w:pPr>
          </w:p>
          <w:p w14:paraId="67E64D1A" w14:textId="13BE3D3D" w:rsidR="008A3C72" w:rsidRPr="008A3C72" w:rsidRDefault="008A3C72" w:rsidP="008A3C72">
            <w:pPr>
              <w:rPr>
                <w:b/>
                <w:bCs/>
                <w:sz w:val="22"/>
                <w:szCs w:val="22"/>
              </w:rPr>
            </w:pPr>
            <w:r w:rsidRPr="008A3C72">
              <w:rPr>
                <w:b/>
                <w:bCs/>
                <w:sz w:val="22"/>
                <w:szCs w:val="22"/>
              </w:rPr>
              <w:t>T5.4 Healthy promoting environments and nudges intervention (</w:t>
            </w:r>
            <w:r w:rsidRPr="008A3C72">
              <w:rPr>
                <w:b/>
                <w:bCs/>
                <w:sz w:val="22"/>
                <w:szCs w:val="22"/>
                <w:highlight w:val="yellow"/>
              </w:rPr>
              <w:t>Lead: NYU??</w:t>
            </w:r>
            <w:r w:rsidRPr="008A3C72">
              <w:rPr>
                <w:b/>
                <w:bCs/>
                <w:sz w:val="22"/>
                <w:szCs w:val="22"/>
              </w:rPr>
              <w:t>; Participants: TBC)</w:t>
            </w:r>
          </w:p>
          <w:p w14:paraId="62C1035A" w14:textId="77777777" w:rsidR="008A3C72" w:rsidRDefault="008A3C72" w:rsidP="008A3C72">
            <w:r w:rsidRPr="008A3C72">
              <w:rPr>
                <w:sz w:val="22"/>
                <w:szCs w:val="22"/>
              </w:rPr>
              <w:t>Insert here text</w:t>
            </w:r>
          </w:p>
          <w:p w14:paraId="27A2741C" w14:textId="77777777" w:rsidR="008A3C72" w:rsidRDefault="008A3C72" w:rsidP="008A3C72"/>
          <w:p w14:paraId="0626231B" w14:textId="271776DF" w:rsidR="008A3C72" w:rsidRDefault="008A3C72" w:rsidP="008A3C72"/>
        </w:tc>
      </w:tr>
    </w:tbl>
    <w:p w14:paraId="1BEC0259" w14:textId="7BCBD9F2" w:rsidR="0715BCBE" w:rsidRDefault="0715BCBE" w:rsidP="0715BCBE">
      <w:pPr>
        <w:jc w:val="both"/>
      </w:pPr>
      <w:r w:rsidRPr="0715BCBE">
        <w:rPr>
          <w:b/>
          <w:bCs/>
        </w:rPr>
        <w:t xml:space="preserve"> </w:t>
      </w:r>
    </w:p>
    <w:p w14:paraId="39C813C4"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13"/>
        <w:gridCol w:w="6642"/>
      </w:tblGrid>
      <w:tr w:rsidR="0715BCBE" w14:paraId="02DE1079" w14:textId="77777777" w:rsidTr="00B2657C">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926632" w14:textId="02E2A007" w:rsidR="0715BCBE" w:rsidRDefault="0715BCBE" w:rsidP="0715BCBE">
            <w:r w:rsidRPr="0715BCBE">
              <w:rPr>
                <w:b/>
                <w:bCs/>
              </w:rPr>
              <w:lastRenderedPageBreak/>
              <w:t xml:space="preserve">Work package number </w:t>
            </w:r>
          </w:p>
        </w:tc>
        <w:tc>
          <w:tcPr>
            <w:tcW w:w="6642" w:type="dxa"/>
            <w:tcBorders>
              <w:top w:val="single" w:sz="8" w:space="0" w:color="auto"/>
              <w:left w:val="single" w:sz="8" w:space="0" w:color="auto"/>
              <w:bottom w:val="single" w:sz="8" w:space="0" w:color="auto"/>
              <w:right w:val="single" w:sz="8" w:space="0" w:color="auto"/>
            </w:tcBorders>
            <w:tcMar>
              <w:left w:w="108" w:type="dxa"/>
              <w:right w:w="108" w:type="dxa"/>
            </w:tcMar>
          </w:tcPr>
          <w:p w14:paraId="75A811EE" w14:textId="30A3A657" w:rsidR="0715BCBE" w:rsidRDefault="0715BCBE" w:rsidP="0715BCBE">
            <w:r w:rsidRPr="0715BCBE">
              <w:t>6</w:t>
            </w:r>
          </w:p>
        </w:tc>
      </w:tr>
      <w:tr w:rsidR="0715BCBE" w14:paraId="70E800C7" w14:textId="77777777" w:rsidTr="00B2657C">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F78FFB" w14:textId="0B0FF0D0" w:rsidR="0715BCBE" w:rsidRDefault="0715BCBE" w:rsidP="0715BCBE">
            <w:r w:rsidRPr="0715BCBE">
              <w:rPr>
                <w:b/>
                <w:bCs/>
              </w:rPr>
              <w:t>Work package title</w:t>
            </w:r>
          </w:p>
        </w:tc>
        <w:tc>
          <w:tcPr>
            <w:tcW w:w="66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1505B" w14:textId="40536CA6" w:rsidR="0715BCBE" w:rsidRDefault="0715BCBE" w:rsidP="0715BCBE">
            <w:r w:rsidRPr="0715BCBE">
              <w:t>Intervention implementation in countries</w:t>
            </w:r>
          </w:p>
        </w:tc>
      </w:tr>
      <w:tr w:rsidR="0715BCBE" w14:paraId="2F59DF47" w14:textId="77777777" w:rsidTr="00B2657C">
        <w:trPr>
          <w:trHeight w:val="3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4A9E2" w14:textId="353367FE" w:rsidR="0715BCBE" w:rsidRDefault="0715BCBE" w:rsidP="0715BCBE">
            <w:r w:rsidRPr="0715BCBE">
              <w:rPr>
                <w:b/>
                <w:bCs/>
                <w:sz w:val="12"/>
                <w:szCs w:val="12"/>
              </w:rPr>
              <w:t xml:space="preserve"> </w:t>
            </w:r>
            <w:r w:rsidRPr="0715BCBE">
              <w:rPr>
                <w:b/>
                <w:bCs/>
              </w:rPr>
              <w:t>Objectives</w:t>
            </w:r>
          </w:p>
          <w:p w14:paraId="2F6B1AAF" w14:textId="77777777" w:rsidR="00B2657C" w:rsidRPr="00B2657C" w:rsidRDefault="0715BCBE" w:rsidP="00B2657C">
            <w:r w:rsidRPr="0715BCBE">
              <w:t xml:space="preserve"> </w:t>
            </w:r>
            <w:r w:rsidR="00B2657C" w:rsidRPr="00B2657C">
              <w:t xml:space="preserve">The aim of WP6 is to ensure that proposed interventions are not only theoretically sound innovations but would be also effectively translated and implemented at the national and possibly regional and local levels by national institutes of public health in six (&gt;5) participating countries. </w:t>
            </w:r>
          </w:p>
          <w:p w14:paraId="3AEB73F5" w14:textId="77777777" w:rsidR="00B2657C" w:rsidRPr="00B2657C" w:rsidRDefault="00B2657C" w:rsidP="00B2657C">
            <w:r w:rsidRPr="00B2657C">
              <w:t>This work package addresses three key dimensions:</w:t>
            </w:r>
          </w:p>
          <w:p w14:paraId="75CC434F" w14:textId="77777777" w:rsidR="00B2657C" w:rsidRPr="00B2657C" w:rsidRDefault="00B2657C" w:rsidP="00B2657C">
            <w:r w:rsidRPr="00B2657C">
              <w:t>1.</w:t>
            </w:r>
            <w:r w:rsidRPr="00B2657C">
              <w:tab/>
              <w:t>Common denominators of interventions: Identification of the shared mechanisms and principles across all interventions to enable harmonization and standardized approaches where feasible.</w:t>
            </w:r>
          </w:p>
          <w:p w14:paraId="383F2E94" w14:textId="77777777" w:rsidR="00B2657C" w:rsidRPr="00B2657C" w:rsidRDefault="00B2657C" w:rsidP="00B2657C">
            <w:r w:rsidRPr="00B2657C">
              <w:t>2.</w:t>
            </w:r>
            <w:r w:rsidRPr="00B2657C">
              <w:tab/>
              <w:t>National implementation feasibility: Assess whether each intervention can be scaled up and institutionalized and integrated into the national context. This includes identifying necessary adaptations, relevant national stakeholders and right-holders to support, vulnerable groups and groups at risk (addressing inequalities), and assessing sustainability. Implementation science principles will guide the analysis to ensure that the interventions follow evidence-based, structured pathways from pilot to nationwide application.</w:t>
            </w:r>
          </w:p>
          <w:p w14:paraId="6AEAA76C" w14:textId="77777777" w:rsidR="00B2657C" w:rsidRPr="00B2657C" w:rsidRDefault="00B2657C" w:rsidP="00B2657C">
            <w:r w:rsidRPr="00B2657C">
              <w:t>3.</w:t>
            </w:r>
            <w:r w:rsidRPr="00B2657C">
              <w:tab/>
              <w:t xml:space="preserve">Alignment of the proposed outcomes and recommendations with EU regulatory frameworks: </w:t>
            </w:r>
            <w:proofErr w:type="spellStart"/>
            <w:r w:rsidRPr="00B2657C">
              <w:t>Analyze</w:t>
            </w:r>
            <w:proofErr w:type="spellEnd"/>
            <w:r w:rsidRPr="00B2657C">
              <w:t xml:space="preserve"> how interventions relate to European legislation, such as the Digital Services Act (DSA), AVMSD, Healthier together, EU Beating Cancer plan and Safe Hearts Plan, Child Guarantee of EPSR and others. </w:t>
            </w:r>
          </w:p>
          <w:p w14:paraId="661312BD" w14:textId="4725DB43" w:rsidR="0715BCBE" w:rsidRDefault="00B2657C" w:rsidP="00B2657C">
            <w:r w:rsidRPr="00B2657C">
              <w:t>Final aim is to understand which principles can be harmonized and operationalized within the interventions, providing a clear framework for implementation.</w:t>
            </w:r>
          </w:p>
        </w:tc>
      </w:tr>
      <w:tr w:rsidR="0715BCBE" w14:paraId="483A7762" w14:textId="77777777" w:rsidTr="00B2657C">
        <w:trPr>
          <w:trHeight w:val="21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D7E0A6" w14:textId="6F0E0DFA" w:rsidR="0715BCBE" w:rsidRDefault="0715BCBE" w:rsidP="0715BCBE">
            <w:pPr>
              <w:jc w:val="both"/>
            </w:pPr>
            <w:r w:rsidRPr="0715BCBE">
              <w:rPr>
                <w:b/>
                <w:bCs/>
              </w:rPr>
              <w:t>Description of work</w:t>
            </w:r>
          </w:p>
          <w:p w14:paraId="7FEAFE48" w14:textId="77777777" w:rsidR="00323310" w:rsidRDefault="00323310" w:rsidP="00B2657C">
            <w:pPr>
              <w:rPr>
                <w:b/>
                <w:bCs/>
              </w:rPr>
            </w:pPr>
          </w:p>
          <w:p w14:paraId="765A1B94" w14:textId="4A250FB6" w:rsidR="00323310" w:rsidRDefault="00323310" w:rsidP="00B2657C">
            <w:pPr>
              <w:rPr>
                <w:b/>
                <w:bCs/>
              </w:rPr>
            </w:pPr>
            <w:r>
              <w:rPr>
                <w:b/>
                <w:bCs/>
              </w:rPr>
              <w:t>[most of this work will be done in local languages – so may need to include translation costs]</w:t>
            </w:r>
          </w:p>
          <w:p w14:paraId="683B7CC1" w14:textId="77777777" w:rsidR="00323310" w:rsidRDefault="00323310" w:rsidP="00B2657C">
            <w:pPr>
              <w:rPr>
                <w:b/>
                <w:bCs/>
              </w:rPr>
            </w:pPr>
          </w:p>
          <w:p w14:paraId="6A2155C9" w14:textId="16D4E1E6" w:rsidR="00B2657C" w:rsidRPr="001C6BFE" w:rsidRDefault="00B2657C" w:rsidP="00B2657C">
            <w:r w:rsidRPr="001C6BFE">
              <w:rPr>
                <w:b/>
                <w:bCs/>
              </w:rPr>
              <w:t xml:space="preserve">T6.1 </w:t>
            </w:r>
            <w:r>
              <w:rPr>
                <w:b/>
                <w:bCs/>
              </w:rPr>
              <w:t>Contextual</w:t>
            </w:r>
            <w:r w:rsidRPr="001C6BFE">
              <w:rPr>
                <w:b/>
                <w:bCs/>
              </w:rPr>
              <w:t xml:space="preserve"> analysis</w:t>
            </w:r>
            <w:r>
              <w:rPr>
                <w:b/>
                <w:bCs/>
              </w:rPr>
              <w:t xml:space="preserve"> and implementation capacities addressing digital environment influences on youth NCD risk, in six EU countries (represented by the national public health institutes)</w:t>
            </w:r>
          </w:p>
          <w:p w14:paraId="1BE4DCB5" w14:textId="77777777" w:rsidR="00B2657C" w:rsidRDefault="00B2657C" w:rsidP="00B2657C">
            <w:r>
              <w:t xml:space="preserve">Lead partner, together with partners from participating NIPHs will provide the baseline assessment of the key capacities in partners organizations, especially in the aspect of digitalization, important for the successful and </w:t>
            </w:r>
            <w:proofErr w:type="gramStart"/>
            <w:r>
              <w:t>long term</w:t>
            </w:r>
            <w:proofErr w:type="gramEnd"/>
            <w:r>
              <w:t xml:space="preserve"> implementation of the interventions: staff capacities, knowledge capacities, financial capacities, institutional and leadership capacities. </w:t>
            </w:r>
          </w:p>
          <w:p w14:paraId="35F3D9AE" w14:textId="77777777" w:rsidR="00B2657C" w:rsidRDefault="00B2657C" w:rsidP="00B2657C">
            <w:r>
              <w:t>Exploratory contextual analyses will be provided, to increase the understanding of the</w:t>
            </w:r>
            <w:r w:rsidRPr="001C6BFE">
              <w:t xml:space="preserve"> national context</w:t>
            </w:r>
            <w:r>
              <w:t>s</w:t>
            </w:r>
            <w:r w:rsidRPr="001C6BFE">
              <w:t xml:space="preserve">, priorities, and strategic/political environment </w:t>
            </w:r>
            <w:r>
              <w:t xml:space="preserve">at the </w:t>
            </w:r>
            <w:r w:rsidRPr="001C6BFE">
              <w:t xml:space="preserve">national and EU </w:t>
            </w:r>
            <w:r>
              <w:t>level – to increase the understanding of the conditions for the implementation of the interventions and provide inputs for finetuning or adapting the implementation processes in participating countries</w:t>
            </w:r>
            <w:r w:rsidRPr="001C6BFE">
              <w:t>.</w:t>
            </w:r>
            <w:r>
              <w:t xml:space="preserve"> Structure – agency interplay, equity aspects (gender and geographical equity) and migration background would be specifically addressed. </w:t>
            </w:r>
          </w:p>
          <w:p w14:paraId="66F2BE74" w14:textId="77777777" w:rsidR="00B2657C" w:rsidRDefault="00B2657C" w:rsidP="00B2657C">
            <w:r>
              <w:t xml:space="preserve">To improve the implementation potential, project relevant capacity building activities would be developed and provided to the implementation teams in six countries. </w:t>
            </w:r>
          </w:p>
          <w:p w14:paraId="0981449B" w14:textId="77777777" w:rsidR="00B2657C" w:rsidRDefault="00B2657C" w:rsidP="00B2657C">
            <w:r>
              <w:t xml:space="preserve">In the last year of the project, follow-up assessment of the institutional capacities will be provided and lessons learnt for the implementation of the interventions will support the development of the final recommendations. </w:t>
            </w:r>
          </w:p>
          <w:p w14:paraId="16AC9892" w14:textId="77777777" w:rsidR="00087A13" w:rsidRDefault="00087A13" w:rsidP="00B2657C"/>
          <w:p w14:paraId="43DB3C0E" w14:textId="3EB090B7" w:rsidR="00B2657C" w:rsidRDefault="00B2657C" w:rsidP="00B2657C">
            <w:r>
              <w:t>In stakeholder mapping</w:t>
            </w:r>
            <w:r>
              <w:rPr>
                <w:rStyle w:val="FootnoteReference"/>
              </w:rPr>
              <w:footnoteReference w:id="4"/>
            </w:r>
            <w:r>
              <w:t xml:space="preserve"> process, r</w:t>
            </w:r>
            <w:r w:rsidRPr="001C6BFE">
              <w:t>elevant national and EU stakeholders</w:t>
            </w:r>
            <w:r>
              <w:t xml:space="preserve"> and right-holders for the individual interventions would be identified, by their demography (public – private, profit-nonprofit, formal-nonformal, type, orientation, power, others). Basic stakeholder network analysis will be </w:t>
            </w:r>
            <w:r>
              <w:lastRenderedPageBreak/>
              <w:t>provided, to better understand the alliances and relationships among project stakeholders, including their power and direction of influence. Special interest will be paid to the possible conflicts of interest and influences in the individual interventions.</w:t>
            </w:r>
          </w:p>
          <w:p w14:paraId="4C9BBFC0" w14:textId="77777777" w:rsidR="00B2657C" w:rsidRDefault="00B2657C" w:rsidP="00B2657C">
            <w:r>
              <w:t>Alignment with the relevant existing intersectoral groups or support to the establishment of the new i</w:t>
            </w:r>
            <w:r w:rsidRPr="001C6BFE">
              <w:t>ntersectoral group</w:t>
            </w:r>
            <w:r>
              <w:t xml:space="preserve">s would be highly encouraged in the national context. Intersectoral groups could increase multidisciplinary competences of the national intervention teams and thus increase the opportunities for successful implementation of different types of intervention. Each of the partners will be establishing collaboration the up-mentioned collaboration and actions aligned with the national contexts. </w:t>
            </w:r>
          </w:p>
          <w:p w14:paraId="0E17FA5A" w14:textId="77777777" w:rsidR="00B2657C" w:rsidRDefault="00B2657C" w:rsidP="00B2657C">
            <w:r>
              <w:t xml:space="preserve">Meaningful engagement of youth is the key principle of the project and youth engagement would be elaborated specifically. </w:t>
            </w:r>
          </w:p>
          <w:p w14:paraId="48EBFAC1" w14:textId="77777777" w:rsidR="00B2657C" w:rsidRPr="001C6BFE" w:rsidRDefault="00B2657C" w:rsidP="00B2657C"/>
          <w:p w14:paraId="1FFF9076" w14:textId="30F30AD6" w:rsidR="00B2657C" w:rsidRPr="001C6BFE" w:rsidRDefault="00B2657C" w:rsidP="00B2657C">
            <w:pPr>
              <w:rPr>
                <w:b/>
                <w:bCs/>
              </w:rPr>
            </w:pPr>
            <w:r w:rsidRPr="001C6BFE">
              <w:rPr>
                <w:b/>
                <w:bCs/>
              </w:rPr>
              <w:t>T6.</w:t>
            </w:r>
            <w:r w:rsidR="00087A13">
              <w:rPr>
                <w:b/>
                <w:bCs/>
              </w:rPr>
              <w:t>2</w:t>
            </w:r>
            <w:r w:rsidRPr="001C6BFE">
              <w:rPr>
                <w:b/>
                <w:bCs/>
              </w:rPr>
              <w:t xml:space="preserve"> Core implementation science activities (lead partner – role of participants)</w:t>
            </w:r>
          </w:p>
          <w:p w14:paraId="2A55CA3F" w14:textId="77777777" w:rsidR="00B2657C" w:rsidRPr="004767F9" w:rsidRDefault="00B2657C" w:rsidP="00B2657C">
            <w:r>
              <w:t>I</w:t>
            </w:r>
            <w:r w:rsidRPr="001C6BFE">
              <w:t>mplementation science</w:t>
            </w:r>
            <w:r>
              <w:t xml:space="preserve"> principles and </w:t>
            </w:r>
            <w:r w:rsidRPr="001C6BFE">
              <w:t>frameworks</w:t>
            </w:r>
            <w:r>
              <w:t xml:space="preserve"> will be applied to support the implementation of the interventions, </w:t>
            </w:r>
            <w:r w:rsidRPr="001C6BFE">
              <w:t>to assess critical steps, target groups, and sustainability of each intervention.</w:t>
            </w:r>
            <w:r>
              <w:t xml:space="preserve"> </w:t>
            </w:r>
            <w:r w:rsidRPr="004767F9">
              <w:t xml:space="preserve">Understanding of the accountability cycle step three (holding to the account), linked to the effectiveness of the intervention, will be especially targeted by the implementation science approaches during the intervention, hopefully giving good insights into the nature of the intervention. Models such as </w:t>
            </w:r>
            <w:r w:rsidRPr="004767F9">
              <w:rPr>
                <w:lang w:val="sl-SI"/>
              </w:rPr>
              <w:t>Knowledge-to-Action Model (Graham s sod., 2006)</w:t>
            </w:r>
            <w:r>
              <w:rPr>
                <w:lang w:val="sl-SI"/>
              </w:rPr>
              <w:t xml:space="preserve"> or</w:t>
            </w:r>
            <w:r w:rsidRPr="004767F9">
              <w:rPr>
                <w:lang w:val="sl-SI"/>
              </w:rPr>
              <w:t xml:space="preserve"> Quality Implementation Framework (Meyers s sod., 2012) </w:t>
            </w:r>
            <w:r>
              <w:rPr>
                <w:lang w:val="sl-SI"/>
              </w:rPr>
              <w:t>would be explored for relevance for actions in the Z-HEALTH project.</w:t>
            </w:r>
          </w:p>
          <w:p w14:paraId="383CA263" w14:textId="77777777" w:rsidR="00B2657C" w:rsidRDefault="00B2657C" w:rsidP="00B2657C">
            <w:r w:rsidRPr="00653E80">
              <w:t xml:space="preserve">Interventions </w:t>
            </w:r>
            <w:r>
              <w:t xml:space="preserve">will be clustered using common denominators (existence of the strategic grounding (legislative) document to increase the legacy of the intervention; level of implementation - nat., reg-local; (gender) equity addressed; available capacities for implementation; transferability addressed; proportion of the population included in the intervention; addressed health determinants / NCDs / mental health; right-holders, vulnerable groups, migrants, youth engaged, rural /urban location;  …and possible others, to be decided during the course of the project) and compared among themselves in that regard.  </w:t>
            </w:r>
          </w:p>
          <w:p w14:paraId="092E7F18" w14:textId="77777777" w:rsidR="00B2657C" w:rsidRDefault="00B2657C" w:rsidP="00B2657C">
            <w:r w:rsidRPr="00653E80">
              <w:t>Sustainability elements</w:t>
            </w:r>
            <w:r>
              <w:t xml:space="preserve"> of the interventions will be explored in addition, to assure higher probability of long-term implementation of interventions and to increase the understanding what are the institutional characteristics influencing successfulness and effectiveness of the implementation of interventions. </w:t>
            </w:r>
          </w:p>
          <w:p w14:paraId="57CE6800" w14:textId="77777777" w:rsidR="00B2657C" w:rsidRDefault="00B2657C" w:rsidP="00B2657C">
            <w:pPr>
              <w:rPr>
                <w:b/>
                <w:bCs/>
              </w:rPr>
            </w:pPr>
          </w:p>
          <w:p w14:paraId="5BF6D4AF" w14:textId="32C896D7" w:rsidR="00B2657C" w:rsidRDefault="00713E06" w:rsidP="00713E06">
            <w:pPr>
              <w:rPr>
                <w:b/>
                <w:bCs/>
              </w:rPr>
            </w:pPr>
            <w:r>
              <w:rPr>
                <w:b/>
                <w:bCs/>
              </w:rPr>
              <w:t>T6.3 Implementation of health and digital literacy programme and digital media self-management</w:t>
            </w:r>
          </w:p>
          <w:p w14:paraId="0C82BAE1" w14:textId="77777777" w:rsidR="00713E06" w:rsidRDefault="00713E06" w:rsidP="00713E06">
            <w:pPr>
              <w:rPr>
                <w:b/>
                <w:bCs/>
              </w:rPr>
            </w:pPr>
          </w:p>
          <w:p w14:paraId="7E3F50D1" w14:textId="5CCE9E65" w:rsidR="00713E06" w:rsidRDefault="00713E06" w:rsidP="00713E06">
            <w:pPr>
              <w:rPr>
                <w:b/>
                <w:bCs/>
              </w:rPr>
            </w:pPr>
            <w:r>
              <w:rPr>
                <w:b/>
                <w:bCs/>
              </w:rPr>
              <w:t>T6.4 Implementation of device-assisted monitoring and feedback</w:t>
            </w:r>
          </w:p>
          <w:p w14:paraId="68FAF166" w14:textId="77777777" w:rsidR="00713E06" w:rsidRDefault="00713E06" w:rsidP="00713E06">
            <w:pPr>
              <w:rPr>
                <w:b/>
                <w:bCs/>
              </w:rPr>
            </w:pPr>
          </w:p>
          <w:p w14:paraId="272773A6" w14:textId="2F6B9F68" w:rsidR="00713E06" w:rsidRDefault="00713E06" w:rsidP="00713E06">
            <w:pPr>
              <w:rPr>
                <w:b/>
                <w:bCs/>
              </w:rPr>
            </w:pPr>
            <w:r>
              <w:rPr>
                <w:b/>
                <w:bCs/>
              </w:rPr>
              <w:t>T6.5 Implementation of resources and services</w:t>
            </w:r>
          </w:p>
          <w:p w14:paraId="704FFDDD" w14:textId="683CB647" w:rsidR="00713E06" w:rsidRDefault="00713E06" w:rsidP="00713E06"/>
        </w:tc>
      </w:tr>
      <w:tr w:rsidR="00B2657C" w:rsidRPr="00F0467C" w14:paraId="08760F9D" w14:textId="77777777" w:rsidTr="00B2657C">
        <w:trPr>
          <w:trHeight w:val="21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6D809" w14:textId="77777777" w:rsidR="00B2657C" w:rsidRPr="00F0467C" w:rsidRDefault="00B2657C" w:rsidP="000E66CE">
            <w:pPr>
              <w:jc w:val="both"/>
              <w:rPr>
                <w:b/>
                <w:bCs/>
              </w:rPr>
            </w:pPr>
            <w:r w:rsidRPr="00F0467C">
              <w:rPr>
                <w:b/>
                <w:bCs/>
              </w:rPr>
              <w:t>Deliverables</w:t>
            </w:r>
          </w:p>
          <w:p w14:paraId="5C2AA5B6" w14:textId="77777777" w:rsidR="00B2657C" w:rsidRDefault="00B2657C" w:rsidP="000E66CE">
            <w:pPr>
              <w:jc w:val="both"/>
            </w:pPr>
            <w:r w:rsidRPr="00F0467C">
              <w:t>D6.</w:t>
            </w:r>
            <w:r>
              <w:t>n</w:t>
            </w:r>
            <w:r w:rsidRPr="00F0467C">
              <w:t xml:space="preserve"> name – short description – Delivery date </w:t>
            </w:r>
          </w:p>
          <w:p w14:paraId="6B242C27" w14:textId="77777777" w:rsidR="00B2657C" w:rsidRPr="00F0467C" w:rsidRDefault="00B2657C" w:rsidP="000E66CE">
            <w:pPr>
              <w:jc w:val="both"/>
            </w:pPr>
          </w:p>
          <w:p w14:paraId="65BEC9BA" w14:textId="77777777" w:rsidR="00B2657C" w:rsidRPr="00F0467C" w:rsidRDefault="00B2657C" w:rsidP="000E66CE">
            <w:pPr>
              <w:jc w:val="both"/>
              <w:rPr>
                <w:b/>
                <w:bCs/>
              </w:rPr>
            </w:pPr>
            <w:r w:rsidRPr="00F0467C">
              <w:rPr>
                <w:b/>
                <w:bCs/>
              </w:rPr>
              <w:t>Milestones</w:t>
            </w:r>
          </w:p>
          <w:p w14:paraId="634DE49F" w14:textId="77777777" w:rsidR="00B2657C" w:rsidRPr="00F0467C" w:rsidRDefault="00B2657C" w:rsidP="000E66CE">
            <w:pPr>
              <w:jc w:val="both"/>
            </w:pPr>
            <w:r w:rsidRPr="00F0467C">
              <w:t>Milestone name – Delivery date</w:t>
            </w:r>
          </w:p>
          <w:p w14:paraId="5B64032D" w14:textId="77777777" w:rsidR="00DD3A42" w:rsidRDefault="00DD3A42" w:rsidP="000E66CE">
            <w:pPr>
              <w:jc w:val="both"/>
              <w:rPr>
                <w:b/>
                <w:bCs/>
              </w:rPr>
            </w:pPr>
          </w:p>
          <w:p w14:paraId="3E4891DC" w14:textId="14E2C9CA" w:rsidR="00B2657C" w:rsidRPr="00F0467C" w:rsidRDefault="00B2657C" w:rsidP="000E66CE">
            <w:pPr>
              <w:jc w:val="both"/>
              <w:rPr>
                <w:b/>
                <w:bCs/>
              </w:rPr>
            </w:pPr>
            <w:r w:rsidRPr="00F0467C">
              <w:rPr>
                <w:b/>
                <w:bCs/>
              </w:rPr>
              <w:t>Critical risks</w:t>
            </w:r>
          </w:p>
          <w:p w14:paraId="7206C30F" w14:textId="73D84D82" w:rsidR="00B2657C" w:rsidRPr="00B2657C" w:rsidRDefault="00B2657C" w:rsidP="000E66CE">
            <w:pPr>
              <w:jc w:val="both"/>
            </w:pPr>
            <w:r w:rsidRPr="00F0467C">
              <w:t xml:space="preserve">Any plausible event or issue that could have a high adverse impact on the ability of achieve the objectives. </w:t>
            </w:r>
          </w:p>
        </w:tc>
      </w:tr>
    </w:tbl>
    <w:p w14:paraId="3BCC54D9" w14:textId="11EDF67E" w:rsidR="0715BCBE" w:rsidRDefault="0715BCBE" w:rsidP="0715BCBE">
      <w:pPr>
        <w:jc w:val="both"/>
      </w:pPr>
      <w:r w:rsidRPr="0715BCBE">
        <w:rPr>
          <w:b/>
          <w:bCs/>
        </w:rPr>
        <w:t xml:space="preserve"> </w:t>
      </w:r>
    </w:p>
    <w:p w14:paraId="4BAB212A"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21"/>
        <w:gridCol w:w="6663"/>
      </w:tblGrid>
      <w:tr w:rsidR="0715BCBE" w14:paraId="2B517596" w14:textId="77777777" w:rsidTr="0715BCBE">
        <w:trPr>
          <w:trHeight w:val="300"/>
        </w:trPr>
        <w:tc>
          <w:tcPr>
            <w:tcW w:w="3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BE3D04" w14:textId="542928D9" w:rsidR="0715BCBE" w:rsidRDefault="0715BCBE" w:rsidP="0715BCBE">
            <w:r w:rsidRPr="0715BCBE">
              <w:rPr>
                <w:b/>
                <w:bCs/>
              </w:rPr>
              <w:lastRenderedPageBreak/>
              <w:t xml:space="preserve">Work package number </w:t>
            </w:r>
          </w:p>
        </w:tc>
        <w:tc>
          <w:tcPr>
            <w:tcW w:w="6666" w:type="dxa"/>
            <w:tcBorders>
              <w:top w:val="single" w:sz="8" w:space="0" w:color="auto"/>
              <w:left w:val="single" w:sz="8" w:space="0" w:color="auto"/>
              <w:bottom w:val="single" w:sz="8" w:space="0" w:color="auto"/>
              <w:right w:val="single" w:sz="8" w:space="0" w:color="auto"/>
            </w:tcBorders>
            <w:tcMar>
              <w:left w:w="108" w:type="dxa"/>
              <w:right w:w="108" w:type="dxa"/>
            </w:tcMar>
          </w:tcPr>
          <w:p w14:paraId="376C8150" w14:textId="61F2FF73" w:rsidR="0715BCBE" w:rsidRDefault="0715BCBE" w:rsidP="0715BCBE">
            <w:r w:rsidRPr="0715BCBE">
              <w:t>7</w:t>
            </w:r>
          </w:p>
        </w:tc>
      </w:tr>
      <w:tr w:rsidR="0715BCBE" w14:paraId="6B0D049C" w14:textId="77777777" w:rsidTr="0715BCBE">
        <w:trPr>
          <w:trHeight w:val="300"/>
        </w:trPr>
        <w:tc>
          <w:tcPr>
            <w:tcW w:w="3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765C36" w14:textId="61C543D1" w:rsidR="0715BCBE" w:rsidRDefault="0715BCBE" w:rsidP="0715BCBE">
            <w:r w:rsidRPr="0715BCBE">
              <w:rPr>
                <w:b/>
                <w:bCs/>
              </w:rPr>
              <w:t>Work package title</w:t>
            </w:r>
          </w:p>
        </w:tc>
        <w:tc>
          <w:tcPr>
            <w:tcW w:w="6666" w:type="dxa"/>
            <w:tcBorders>
              <w:top w:val="single" w:sz="8" w:space="0" w:color="auto"/>
              <w:left w:val="single" w:sz="8" w:space="0" w:color="auto"/>
              <w:bottom w:val="single" w:sz="8" w:space="0" w:color="auto"/>
              <w:right w:val="single" w:sz="8" w:space="0" w:color="auto"/>
            </w:tcBorders>
            <w:tcMar>
              <w:left w:w="108" w:type="dxa"/>
              <w:right w:w="108" w:type="dxa"/>
            </w:tcMar>
          </w:tcPr>
          <w:p w14:paraId="7C5F891C" w14:textId="7137A64A" w:rsidR="0715BCBE" w:rsidRDefault="0715BCBE" w:rsidP="0715BCBE">
            <w:r w:rsidRPr="0715BCBE">
              <w:rPr>
                <w:color w:val="282828"/>
              </w:rPr>
              <w:t>Evaluation</w:t>
            </w:r>
          </w:p>
        </w:tc>
      </w:tr>
    </w:tbl>
    <w:p w14:paraId="14B86FB7" w14:textId="2D430AFC" w:rsidR="0715BCBE" w:rsidRDefault="0715BCBE" w:rsidP="0715BCBE">
      <w:pPr>
        <w:jc w:val="both"/>
      </w:pPr>
      <w:r w:rsidRPr="0715BCBE">
        <w:rPr>
          <w:b/>
          <w:bCs/>
          <w:sz w:val="12"/>
          <w:szCs w:val="12"/>
        </w:rPr>
        <w:t xml:space="preserve"> </w:t>
      </w:r>
    </w:p>
    <w:tbl>
      <w:tblPr>
        <w:tblW w:w="0" w:type="auto"/>
        <w:tblLook w:val="06A0" w:firstRow="1" w:lastRow="0" w:firstColumn="1" w:lastColumn="0" w:noHBand="1" w:noVBand="1"/>
      </w:tblPr>
      <w:tblGrid>
        <w:gridCol w:w="10155"/>
      </w:tblGrid>
      <w:tr w:rsidR="0715BCBE" w14:paraId="49CED481" w14:textId="77777777" w:rsidTr="0715BCBE">
        <w:trPr>
          <w:trHeight w:val="300"/>
        </w:trPr>
        <w:tc>
          <w:tcPr>
            <w:tcW w:w="10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1F2B4" w14:textId="767BF3AB" w:rsidR="0715BCBE" w:rsidRDefault="0715BCBE" w:rsidP="0715BCBE">
            <w:r w:rsidRPr="0715BCBE">
              <w:rPr>
                <w:b/>
                <w:bCs/>
              </w:rPr>
              <w:t>Objectives</w:t>
            </w:r>
          </w:p>
          <w:p w14:paraId="640EE019" w14:textId="77777777" w:rsidR="003815E0" w:rsidRPr="00046E0B" w:rsidRDefault="009C6CAD" w:rsidP="0715BCBE">
            <w:pPr>
              <w:rPr>
                <w:highlight w:val="yellow"/>
              </w:rPr>
            </w:pPr>
            <w:r w:rsidRPr="00046E0B">
              <w:rPr>
                <w:b/>
                <w:bCs/>
                <w:highlight w:val="yellow"/>
              </w:rPr>
              <w:t>O7.1</w:t>
            </w:r>
            <w:r w:rsidRPr="00046E0B">
              <w:rPr>
                <w:highlight w:val="yellow"/>
              </w:rPr>
              <w:t xml:space="preserve"> Establish a </w:t>
            </w:r>
            <w:r w:rsidR="009E5F31" w:rsidRPr="00046E0B">
              <w:rPr>
                <w:highlight w:val="yellow"/>
              </w:rPr>
              <w:t>harmonised, FAIR-compliant data infrastructure across implementation countries that integrates real-world data (RWD) sources</w:t>
            </w:r>
          </w:p>
          <w:p w14:paraId="2A7E3086" w14:textId="2D4F6D9B" w:rsidR="00320CCC" w:rsidRPr="00320CCC" w:rsidRDefault="00320CCC" w:rsidP="00320CCC">
            <w:pPr>
              <w:rPr>
                <w:highlight w:val="yellow"/>
              </w:rPr>
            </w:pPr>
            <w:r w:rsidRPr="00320CCC">
              <w:rPr>
                <w:b/>
                <w:bCs/>
                <w:highlight w:val="yellow"/>
              </w:rPr>
              <w:t>O7.2</w:t>
            </w:r>
            <w:r w:rsidRPr="00320CCC">
              <w:rPr>
                <w:highlight w:val="yellow"/>
              </w:rPr>
              <w:t xml:space="preserve"> Implement a pre-registered multidimensional evaluation framework covering effectiveness, participant experience, economic efficiency, equity, and sustainability.</w:t>
            </w:r>
          </w:p>
          <w:p w14:paraId="4618553A" w14:textId="5B2CA940" w:rsidR="00320CCC" w:rsidRPr="00320CCC" w:rsidRDefault="00320CCC" w:rsidP="00320CCC">
            <w:pPr>
              <w:rPr>
                <w:highlight w:val="yellow"/>
              </w:rPr>
            </w:pPr>
            <w:r w:rsidRPr="00320CCC">
              <w:rPr>
                <w:b/>
                <w:bCs/>
                <w:highlight w:val="yellow"/>
              </w:rPr>
              <w:t>O7.3</w:t>
            </w:r>
            <w:r w:rsidRPr="00320CCC">
              <w:rPr>
                <w:highlight w:val="yellow"/>
              </w:rPr>
              <w:t xml:space="preserve"> Generate valid causal estimates of intervention effectiveness across all three NCD domains.</w:t>
            </w:r>
          </w:p>
          <w:p w14:paraId="2E8A7607" w14:textId="5B65E333" w:rsidR="00320CCC" w:rsidRPr="00320CCC" w:rsidRDefault="00320CCC" w:rsidP="00320CCC">
            <w:r w:rsidRPr="00320CCC">
              <w:rPr>
                <w:b/>
                <w:bCs/>
                <w:highlight w:val="yellow"/>
              </w:rPr>
              <w:t>O7.4</w:t>
            </w:r>
            <w:r w:rsidRPr="00320CCC">
              <w:rPr>
                <w:highlight w:val="yellow"/>
              </w:rPr>
              <w:t xml:space="preserve"> Synthesise primary study results into a standardised evidence package.</w:t>
            </w:r>
          </w:p>
          <w:p w14:paraId="7ABD4BEE" w14:textId="7B4FB84C" w:rsidR="009C6CAD" w:rsidRDefault="009C6CAD" w:rsidP="0715BCBE"/>
        </w:tc>
      </w:tr>
    </w:tbl>
    <w:p w14:paraId="304A57D1" w14:textId="0C840678" w:rsidR="0715BCBE" w:rsidRDefault="0715BCBE" w:rsidP="0715BCBE">
      <w:pPr>
        <w:jc w:val="both"/>
      </w:pPr>
      <w:r w:rsidRPr="0715BCBE">
        <w:rPr>
          <w:sz w:val="12"/>
          <w:szCs w:val="12"/>
        </w:rPr>
        <w:t xml:space="preserve"> </w:t>
      </w:r>
    </w:p>
    <w:tbl>
      <w:tblPr>
        <w:tblW w:w="0" w:type="auto"/>
        <w:tblLook w:val="06A0" w:firstRow="1" w:lastRow="0" w:firstColumn="1" w:lastColumn="0" w:noHBand="1" w:noVBand="1"/>
      </w:tblPr>
      <w:tblGrid>
        <w:gridCol w:w="10170"/>
      </w:tblGrid>
      <w:tr w:rsidR="0715BCBE" w14:paraId="1BCE13D0"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BA3FBB" w14:textId="2136F5AD" w:rsidR="0715BCBE" w:rsidRPr="00C15267" w:rsidRDefault="0715BCBE" w:rsidP="0715BCBE">
            <w:pPr>
              <w:jc w:val="both"/>
              <w:rPr>
                <w:sz w:val="22"/>
                <w:szCs w:val="22"/>
                <w:highlight w:val="yellow"/>
              </w:rPr>
            </w:pPr>
            <w:r w:rsidRPr="00C15267">
              <w:rPr>
                <w:b/>
                <w:bCs/>
                <w:sz w:val="22"/>
                <w:szCs w:val="22"/>
                <w:highlight w:val="yellow"/>
              </w:rPr>
              <w:t>Description of work</w:t>
            </w:r>
          </w:p>
          <w:p w14:paraId="6F5B9A89" w14:textId="77777777" w:rsidR="007308B8" w:rsidRPr="00C15267" w:rsidRDefault="007308B8" w:rsidP="0715BCBE">
            <w:pPr>
              <w:rPr>
                <w:b/>
                <w:bCs/>
                <w:sz w:val="22"/>
                <w:szCs w:val="22"/>
                <w:highlight w:val="yellow"/>
              </w:rPr>
            </w:pPr>
          </w:p>
          <w:p w14:paraId="27437F0F" w14:textId="3052A2D4" w:rsidR="007308B8" w:rsidRPr="00C15267" w:rsidRDefault="007308B8" w:rsidP="0715BCBE">
            <w:pPr>
              <w:rPr>
                <w:b/>
                <w:bCs/>
                <w:sz w:val="22"/>
                <w:szCs w:val="22"/>
                <w:highlight w:val="yellow"/>
              </w:rPr>
            </w:pPr>
            <w:r w:rsidRPr="00C15267">
              <w:rPr>
                <w:b/>
                <w:bCs/>
                <w:sz w:val="22"/>
                <w:szCs w:val="22"/>
                <w:highlight w:val="yellow"/>
              </w:rPr>
              <w:t xml:space="preserve">T7.1 Real world data infrastructure (Lead: </w:t>
            </w:r>
            <w:r w:rsidR="00A94B8C" w:rsidRPr="00C15267">
              <w:rPr>
                <w:b/>
                <w:bCs/>
                <w:sz w:val="22"/>
                <w:szCs w:val="22"/>
                <w:highlight w:val="yellow"/>
              </w:rPr>
              <w:t>ICL</w:t>
            </w:r>
            <w:r w:rsidRPr="00C15267">
              <w:rPr>
                <w:b/>
                <w:bCs/>
                <w:sz w:val="22"/>
                <w:szCs w:val="22"/>
                <w:highlight w:val="yellow"/>
              </w:rPr>
              <w:t xml:space="preserve">; Participants: </w:t>
            </w:r>
            <w:r w:rsidR="00A94B8C" w:rsidRPr="00C15267">
              <w:rPr>
                <w:b/>
                <w:bCs/>
                <w:sz w:val="22"/>
                <w:szCs w:val="22"/>
                <w:highlight w:val="yellow"/>
              </w:rPr>
              <w:t>NIPH, NIJZ, EHNet</w:t>
            </w:r>
            <w:r w:rsidRPr="00C15267">
              <w:rPr>
                <w:b/>
                <w:bCs/>
                <w:sz w:val="22"/>
                <w:szCs w:val="22"/>
                <w:highlight w:val="yellow"/>
              </w:rPr>
              <w:t>)</w:t>
            </w:r>
          </w:p>
          <w:p w14:paraId="427FA865" w14:textId="2E08BE8D" w:rsidR="003D505E" w:rsidRPr="00C15267" w:rsidRDefault="00714503" w:rsidP="0715BCBE">
            <w:pPr>
              <w:rPr>
                <w:sz w:val="22"/>
                <w:szCs w:val="22"/>
                <w:highlight w:val="yellow"/>
              </w:rPr>
            </w:pPr>
            <w:r w:rsidRPr="00C15267">
              <w:rPr>
                <w:sz w:val="22"/>
                <w:szCs w:val="22"/>
                <w:highlight w:val="yellow"/>
              </w:rPr>
              <w:t>This task establishes the cross-national RWD infrastructure underpinning Z-HEALTH's evaluation strategy, combining central data governance coordination with country-level data access and linkage activities in each implementing country.</w:t>
            </w:r>
          </w:p>
          <w:p w14:paraId="46A7EAAE" w14:textId="77777777" w:rsidR="00227430" w:rsidRPr="00C15267" w:rsidRDefault="00227430" w:rsidP="0715BCBE">
            <w:pPr>
              <w:rPr>
                <w:b/>
                <w:bCs/>
                <w:sz w:val="22"/>
                <w:szCs w:val="22"/>
                <w:highlight w:val="yellow"/>
              </w:rPr>
            </w:pPr>
          </w:p>
          <w:p w14:paraId="2E2B69A6" w14:textId="76CC1FD9" w:rsidR="00F32858" w:rsidRPr="00C15267" w:rsidRDefault="00F32858" w:rsidP="0715BCBE">
            <w:pPr>
              <w:rPr>
                <w:b/>
                <w:bCs/>
                <w:sz w:val="22"/>
                <w:szCs w:val="22"/>
                <w:highlight w:val="yellow"/>
              </w:rPr>
            </w:pPr>
            <w:r w:rsidRPr="00C15267">
              <w:rPr>
                <w:b/>
                <w:bCs/>
                <w:sz w:val="22"/>
                <w:szCs w:val="22"/>
                <w:highlight w:val="yellow"/>
              </w:rPr>
              <w:t xml:space="preserve">T7.1a </w:t>
            </w:r>
            <w:r w:rsidR="002D5C40" w:rsidRPr="00C15267">
              <w:rPr>
                <w:b/>
                <w:bCs/>
                <w:sz w:val="22"/>
                <w:szCs w:val="22"/>
                <w:highlight w:val="yellow"/>
              </w:rPr>
              <w:t>Central data governance and harmonisation (Lead: ICL)</w:t>
            </w:r>
          </w:p>
          <w:p w14:paraId="656982C1" w14:textId="1D10BA7F" w:rsidR="002D5C40" w:rsidRPr="00C15267" w:rsidRDefault="00273689" w:rsidP="0715BCBE">
            <w:pPr>
              <w:rPr>
                <w:sz w:val="22"/>
                <w:szCs w:val="22"/>
                <w:highlight w:val="yellow"/>
              </w:rPr>
            </w:pPr>
            <w:r w:rsidRPr="00C15267">
              <w:rPr>
                <w:sz w:val="22"/>
                <w:szCs w:val="22"/>
                <w:highlight w:val="yellow"/>
              </w:rPr>
              <w:t xml:space="preserve">A </w:t>
            </w:r>
            <w:r w:rsidR="00687C1F" w:rsidRPr="00C15267">
              <w:rPr>
                <w:sz w:val="22"/>
                <w:szCs w:val="22"/>
                <w:highlight w:val="yellow"/>
              </w:rPr>
              <w:t xml:space="preserve">harmonised data governance framework </w:t>
            </w:r>
            <w:r w:rsidRPr="00C15267">
              <w:rPr>
                <w:sz w:val="22"/>
                <w:szCs w:val="22"/>
                <w:highlight w:val="yellow"/>
              </w:rPr>
              <w:t xml:space="preserve">will be developed and maintained </w:t>
            </w:r>
            <w:r w:rsidR="00687C1F" w:rsidRPr="00C15267">
              <w:rPr>
                <w:sz w:val="22"/>
                <w:szCs w:val="22"/>
                <w:highlight w:val="yellow"/>
              </w:rPr>
              <w:t xml:space="preserve">in compliance with GDPR and FAIR data principles, coordinating data management plans across all experimental WPs. Building on data linkage approaches developed </w:t>
            </w:r>
            <w:r w:rsidR="002A2B89" w:rsidRPr="00C15267">
              <w:rPr>
                <w:sz w:val="22"/>
                <w:szCs w:val="22"/>
                <w:highlight w:val="yellow"/>
              </w:rPr>
              <w:t>in the Joint Action on CVD and Diabetes (</w:t>
            </w:r>
            <w:r w:rsidR="00687C1F" w:rsidRPr="00C15267">
              <w:rPr>
                <w:sz w:val="22"/>
                <w:szCs w:val="22"/>
                <w:highlight w:val="yellow"/>
              </w:rPr>
              <w:t xml:space="preserve">JACARDI </w:t>
            </w:r>
            <w:r w:rsidR="00BC58D3" w:rsidRPr="00C15267">
              <w:rPr>
                <w:sz w:val="22"/>
                <w:szCs w:val="22"/>
                <w:highlight w:val="yellow"/>
              </w:rPr>
              <w:t xml:space="preserve">#101126953) </w:t>
            </w:r>
            <w:r w:rsidR="00687C1F" w:rsidRPr="00C15267">
              <w:rPr>
                <w:sz w:val="22"/>
                <w:szCs w:val="22"/>
                <w:highlight w:val="yellow"/>
              </w:rPr>
              <w:t>Z-HEALTH will establish a common data model to enable cross-country pooled analyses. ICL will maintain a living data dictionary and ensure all trial datasets are deposited in line with open science requirements.</w:t>
            </w:r>
          </w:p>
          <w:p w14:paraId="19674763" w14:textId="77777777" w:rsidR="00714503" w:rsidRPr="00C15267" w:rsidRDefault="00714503" w:rsidP="0715BCBE">
            <w:pPr>
              <w:rPr>
                <w:b/>
                <w:bCs/>
                <w:sz w:val="22"/>
                <w:szCs w:val="22"/>
                <w:highlight w:val="yellow"/>
              </w:rPr>
            </w:pPr>
          </w:p>
          <w:p w14:paraId="7B45BEA1" w14:textId="7D1CA586" w:rsidR="00580BA1" w:rsidRPr="00C15267" w:rsidRDefault="00580BA1" w:rsidP="0715BCBE">
            <w:pPr>
              <w:rPr>
                <w:b/>
                <w:bCs/>
                <w:sz w:val="22"/>
                <w:szCs w:val="22"/>
                <w:highlight w:val="yellow"/>
              </w:rPr>
            </w:pPr>
            <w:r w:rsidRPr="00C15267">
              <w:rPr>
                <w:b/>
                <w:bCs/>
                <w:sz w:val="22"/>
                <w:szCs w:val="22"/>
                <w:highlight w:val="yellow"/>
              </w:rPr>
              <w:t>T7.1b … country A, B C, n</w:t>
            </w:r>
          </w:p>
          <w:p w14:paraId="29B05819" w14:textId="77777777" w:rsidR="00580BA1" w:rsidRPr="00C15267" w:rsidRDefault="00580BA1" w:rsidP="0715BCBE">
            <w:pPr>
              <w:rPr>
                <w:b/>
                <w:bCs/>
                <w:sz w:val="22"/>
                <w:szCs w:val="22"/>
                <w:highlight w:val="yellow"/>
              </w:rPr>
            </w:pPr>
          </w:p>
          <w:p w14:paraId="41B0AFF7" w14:textId="77777777" w:rsidR="00811C3E" w:rsidRPr="00811C3E" w:rsidRDefault="00811C3E" w:rsidP="00811C3E">
            <w:pPr>
              <w:rPr>
                <w:b/>
                <w:bCs/>
                <w:sz w:val="22"/>
                <w:szCs w:val="22"/>
                <w:highlight w:val="yellow"/>
              </w:rPr>
            </w:pPr>
            <w:r w:rsidRPr="00811C3E">
              <w:rPr>
                <w:b/>
                <w:bCs/>
                <w:sz w:val="22"/>
                <w:szCs w:val="22"/>
                <w:highlight w:val="yellow"/>
              </w:rPr>
              <w:t xml:space="preserve">T7.2 – Evaluation design and assessment planning (Lead: ICL; Participants: NIPH, NIJZ, University of Cologne, </w:t>
            </w:r>
            <w:proofErr w:type="spellStart"/>
            <w:r w:rsidRPr="00811C3E">
              <w:rPr>
                <w:b/>
                <w:bCs/>
                <w:sz w:val="22"/>
                <w:szCs w:val="22"/>
                <w:highlight w:val="yellow"/>
              </w:rPr>
              <w:t>EuroHealthNet</w:t>
            </w:r>
            <w:proofErr w:type="spellEnd"/>
            <w:r w:rsidRPr="00811C3E">
              <w:rPr>
                <w:b/>
                <w:bCs/>
                <w:sz w:val="22"/>
                <w:szCs w:val="22"/>
                <w:highlight w:val="yellow"/>
              </w:rPr>
              <w:t>)</w:t>
            </w:r>
          </w:p>
          <w:p w14:paraId="3BBF0A80" w14:textId="4815E742" w:rsidR="00C50A9B" w:rsidRPr="00C15267" w:rsidRDefault="00C50A9B" w:rsidP="00811C3E">
            <w:pPr>
              <w:rPr>
                <w:sz w:val="22"/>
                <w:szCs w:val="22"/>
                <w:highlight w:val="yellow"/>
              </w:rPr>
            </w:pPr>
            <w:r w:rsidRPr="00C15267">
              <w:rPr>
                <w:sz w:val="22"/>
                <w:szCs w:val="22"/>
                <w:highlight w:val="yellow"/>
              </w:rPr>
              <w:t>Drawing on the JACARDI Methodological Framework for Multidimensional Pilot Assessment, Z-HEALTH will apply a five-dimensional evaluation framework to each intervention study: (</w:t>
            </w:r>
            <w:proofErr w:type="spellStart"/>
            <w:r w:rsidRPr="00C15267">
              <w:rPr>
                <w:sz w:val="22"/>
                <w:szCs w:val="22"/>
                <w:highlight w:val="yellow"/>
              </w:rPr>
              <w:t>i</w:t>
            </w:r>
            <w:proofErr w:type="spellEnd"/>
            <w:r w:rsidRPr="00C15267">
              <w:rPr>
                <w:sz w:val="22"/>
                <w:szCs w:val="22"/>
                <w:highlight w:val="yellow"/>
              </w:rPr>
              <w:t>) effectiveness; (ii) participant and user experience; (iii) economic efficiency; (iv) distributional equity; and (v) sustainability and scalability. A master evaluation protocol will specify harmonised outcome instruments and a pre-registration schedule via OSF and ClinicalTrials.gov. Each intervention lead will complete a standardised assessment planning template — covering counterfactual definition, participant selection, data collection procedures, and economic evaluation approach — by M9, enabling the central team to select studies for in-depth analysis and ensure methodological consistency. Evaluation designs include cluster and individually randomised controlled trials (WPs 2–4) and quasi-experimental designs exploiting staggered implementation of national digital environment policies</w:t>
            </w:r>
            <w:r w:rsidR="00C61DEE" w:rsidRPr="00C15267">
              <w:rPr>
                <w:sz w:val="22"/>
                <w:szCs w:val="22"/>
                <w:highlight w:val="yellow"/>
              </w:rPr>
              <w:t xml:space="preserve"> </w:t>
            </w:r>
            <w:r w:rsidRPr="00C15267">
              <w:rPr>
                <w:sz w:val="22"/>
                <w:szCs w:val="22"/>
                <w:highlight w:val="yellow"/>
              </w:rPr>
              <w:t>using difference-in-differences and synthetic control methods, with 12-month follow-up across all studies.</w:t>
            </w:r>
          </w:p>
          <w:p w14:paraId="5EB95E58" w14:textId="77777777" w:rsidR="007308B8" w:rsidRPr="00C15267" w:rsidRDefault="007308B8" w:rsidP="0715BCBE">
            <w:pPr>
              <w:rPr>
                <w:b/>
                <w:bCs/>
                <w:sz w:val="22"/>
                <w:szCs w:val="22"/>
                <w:highlight w:val="yellow"/>
              </w:rPr>
            </w:pPr>
          </w:p>
          <w:p w14:paraId="2C73B3B9" w14:textId="6DE8B754" w:rsidR="00B16EA8" w:rsidRPr="00B16EA8" w:rsidRDefault="00B16EA8" w:rsidP="00B16EA8">
            <w:pPr>
              <w:rPr>
                <w:b/>
                <w:bCs/>
                <w:sz w:val="22"/>
                <w:szCs w:val="22"/>
                <w:highlight w:val="yellow"/>
              </w:rPr>
            </w:pPr>
            <w:r w:rsidRPr="00B16EA8">
              <w:rPr>
                <w:b/>
                <w:bCs/>
                <w:sz w:val="22"/>
                <w:szCs w:val="22"/>
                <w:highlight w:val="yellow"/>
              </w:rPr>
              <w:t xml:space="preserve">T7.3 – </w:t>
            </w:r>
            <w:r w:rsidR="00B17964" w:rsidRPr="00C15267">
              <w:rPr>
                <w:b/>
                <w:bCs/>
                <w:sz w:val="22"/>
                <w:szCs w:val="22"/>
                <w:highlight w:val="yellow"/>
              </w:rPr>
              <w:t>Impact assessment</w:t>
            </w:r>
            <w:r w:rsidRPr="00B16EA8">
              <w:rPr>
                <w:b/>
                <w:bCs/>
                <w:sz w:val="22"/>
                <w:szCs w:val="22"/>
                <w:highlight w:val="yellow"/>
              </w:rPr>
              <w:t xml:space="preserve"> (Lead: ICL; Participants: NIPH, NIJZ, University of Cologne)</w:t>
            </w:r>
          </w:p>
          <w:p w14:paraId="6DC298EB" w14:textId="3CEAF562" w:rsidR="00B16EA8" w:rsidRPr="00B16EA8" w:rsidRDefault="00B16EA8" w:rsidP="00B16EA8">
            <w:pPr>
              <w:rPr>
                <w:sz w:val="22"/>
                <w:szCs w:val="22"/>
                <w:highlight w:val="yellow"/>
              </w:rPr>
            </w:pPr>
            <w:r w:rsidRPr="00B16EA8">
              <w:rPr>
                <w:sz w:val="22"/>
                <w:szCs w:val="22"/>
                <w:highlight w:val="yellow"/>
              </w:rPr>
              <w:t>Z-HEALTH will designate a minimum of one study per NCD domain (≥3 total) for in-depth evaluation. Selection will be based on methodological strength, sample size, data quality, and cross-national generalisability. For selected studies, ICL will conduct full causal inference analysis, economic evaluation, equity analysis, and sustainability/scalability assessment. For all other studies, experimental WP leads will conduct self-assessment using the standardised assessment template. A minimum requirement for all studies is demonstration that the primary outcome changed significantly relative to counterfactual, supported by appropriate regression analysis and pre-specified heterogeneity testing by sociodemographic subgroup.</w:t>
            </w:r>
          </w:p>
          <w:p w14:paraId="29433A60" w14:textId="77777777" w:rsidR="00B16EA8" w:rsidRPr="00C15267" w:rsidRDefault="00B16EA8" w:rsidP="00B16EA8">
            <w:pPr>
              <w:rPr>
                <w:b/>
                <w:bCs/>
                <w:sz w:val="22"/>
                <w:szCs w:val="22"/>
                <w:highlight w:val="yellow"/>
              </w:rPr>
            </w:pPr>
          </w:p>
          <w:p w14:paraId="5D7171F8" w14:textId="27A61368" w:rsidR="00B16EA8" w:rsidRPr="00B16EA8" w:rsidRDefault="00B16EA8" w:rsidP="00B16EA8">
            <w:pPr>
              <w:rPr>
                <w:b/>
                <w:bCs/>
                <w:sz w:val="22"/>
                <w:szCs w:val="22"/>
                <w:highlight w:val="yellow"/>
              </w:rPr>
            </w:pPr>
            <w:r w:rsidRPr="00B16EA8">
              <w:rPr>
                <w:b/>
                <w:bCs/>
                <w:sz w:val="22"/>
                <w:szCs w:val="22"/>
                <w:highlight w:val="yellow"/>
              </w:rPr>
              <w:t>T7.4 – Synthesis and evidence packaging (Lead: ICL; Participants: all WP leads)</w:t>
            </w:r>
          </w:p>
          <w:p w14:paraId="642E2802" w14:textId="3FF5010B" w:rsidR="00B16EA8" w:rsidRPr="00C15267" w:rsidRDefault="00B16EA8" w:rsidP="00B16EA8">
            <w:pPr>
              <w:rPr>
                <w:sz w:val="22"/>
                <w:szCs w:val="22"/>
                <w:highlight w:val="yellow"/>
              </w:rPr>
            </w:pPr>
            <w:r w:rsidRPr="00B16EA8">
              <w:rPr>
                <w:sz w:val="22"/>
                <w:szCs w:val="22"/>
                <w:highlight w:val="yellow"/>
              </w:rPr>
              <w:t xml:space="preserve">This task synthesises primary study results into a consolidated, standardised evidence package for use in WP8 (modelling) and WP9 (policy translation). </w:t>
            </w:r>
            <w:r w:rsidR="00372847" w:rsidRPr="00C15267">
              <w:rPr>
                <w:sz w:val="22"/>
                <w:szCs w:val="22"/>
                <w:highlight w:val="yellow"/>
              </w:rPr>
              <w:t xml:space="preserve">We will </w:t>
            </w:r>
            <w:r w:rsidRPr="00B16EA8">
              <w:rPr>
                <w:sz w:val="22"/>
                <w:szCs w:val="22"/>
                <w:highlight w:val="yellow"/>
              </w:rPr>
              <w:t xml:space="preserve">produce intervention-level evidence summaries in a </w:t>
            </w:r>
            <w:r w:rsidRPr="00B16EA8">
              <w:rPr>
                <w:sz w:val="22"/>
                <w:szCs w:val="22"/>
                <w:highlight w:val="yellow"/>
              </w:rPr>
              <w:lastRenderedPageBreak/>
              <w:t xml:space="preserve">structured format </w:t>
            </w:r>
            <w:proofErr w:type="gramStart"/>
            <w:r w:rsidRPr="00B16EA8">
              <w:rPr>
                <w:sz w:val="22"/>
                <w:szCs w:val="22"/>
                <w:highlight w:val="yellow"/>
              </w:rPr>
              <w:t>specifying:</w:t>
            </w:r>
            <w:proofErr w:type="gramEnd"/>
            <w:r w:rsidRPr="00B16EA8">
              <w:rPr>
                <w:sz w:val="22"/>
                <w:szCs w:val="22"/>
                <w:highlight w:val="yellow"/>
              </w:rPr>
              <w:t xml:space="preserve"> effect size estimates with confidence intervals; study design quality rating; implementation fidelity; participant reach and equity profile; cost per participant; and scalability assessment. These summaries will serve as direct inputs to the </w:t>
            </w:r>
            <w:proofErr w:type="gramStart"/>
            <w:r w:rsidRPr="00B16EA8">
              <w:rPr>
                <w:sz w:val="22"/>
                <w:szCs w:val="22"/>
                <w:highlight w:val="yellow"/>
              </w:rPr>
              <w:t>Health</w:t>
            </w:r>
            <w:proofErr w:type="gramEnd"/>
            <w:r w:rsidRPr="00B16EA8">
              <w:rPr>
                <w:sz w:val="22"/>
                <w:szCs w:val="22"/>
                <w:highlight w:val="yellow"/>
              </w:rPr>
              <w:t>-GPS microsimulation in WP8. A narrative synthesis of cross-cutting findings will be produced for WP9 policy translation. ICL will also coordinate sensitivity analyses propagating uncertainty from primary effect size estimates into WP8 model outputs.</w:t>
            </w:r>
          </w:p>
          <w:p w14:paraId="0C07489A" w14:textId="77777777" w:rsidR="00D24730" w:rsidRPr="00C15267" w:rsidRDefault="00D24730" w:rsidP="00B16EA8">
            <w:pPr>
              <w:rPr>
                <w:sz w:val="22"/>
                <w:szCs w:val="22"/>
                <w:highlight w:val="yellow"/>
              </w:rPr>
            </w:pPr>
          </w:p>
          <w:p w14:paraId="11DE5054" w14:textId="77777777" w:rsidR="00D24730" w:rsidRPr="00C15267" w:rsidRDefault="00D24730" w:rsidP="00D24730">
            <w:pPr>
              <w:rPr>
                <w:b/>
                <w:bCs/>
                <w:sz w:val="22"/>
                <w:szCs w:val="22"/>
                <w:highlight w:val="yellow"/>
              </w:rPr>
            </w:pPr>
            <w:r w:rsidRPr="00C15267">
              <w:rPr>
                <w:b/>
                <w:bCs/>
                <w:sz w:val="22"/>
                <w:szCs w:val="22"/>
                <w:highlight w:val="yellow"/>
              </w:rPr>
              <w:t>T7.5 Implementation outcomes (Lead: ???; Participants: NIJZ)</w:t>
            </w:r>
          </w:p>
          <w:p w14:paraId="4FBC9CF5" w14:textId="65085DE0" w:rsidR="00D24730" w:rsidRPr="00B16EA8" w:rsidRDefault="00E97B62" w:rsidP="00B16EA8">
            <w:pPr>
              <w:rPr>
                <w:sz w:val="22"/>
                <w:szCs w:val="22"/>
                <w:highlight w:val="yellow"/>
              </w:rPr>
            </w:pPr>
            <w:r w:rsidRPr="00C15267">
              <w:rPr>
                <w:sz w:val="22"/>
                <w:szCs w:val="22"/>
                <w:highlight w:val="yellow"/>
              </w:rPr>
              <w:t>Drawing on the Implementation Outcomes Framework and the RE-AIM framework, this task will assess six implementation dimensions across all intervention studies: acceptability, appropriateness, feasibility, fidelity, reach, and adoption. Standardised measures will be embedded within the study protocols developed in T7.2, using a mixed-methods approach combining structured checklists with brief qualitative process data from delivery agents. NIJZ and NIPH will lead data collection for their respective study arms. Findings feed directly into the sustainability and scalability assessments in T7.3 and the evidence synthesis in T7.4.</w:t>
            </w:r>
          </w:p>
          <w:p w14:paraId="7CEC285A" w14:textId="415428B8" w:rsidR="0715BCBE" w:rsidRPr="00C15267" w:rsidRDefault="0715BCBE" w:rsidP="0715BCBE">
            <w:pPr>
              <w:rPr>
                <w:sz w:val="22"/>
                <w:szCs w:val="22"/>
              </w:rPr>
            </w:pPr>
          </w:p>
        </w:tc>
      </w:tr>
      <w:tr w:rsidR="00426D0C" w14:paraId="01E4F7D5"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39F70" w14:textId="77777777" w:rsidR="003C1C3A" w:rsidRPr="003C1C3A" w:rsidRDefault="003C1C3A" w:rsidP="003C1C3A">
            <w:pPr>
              <w:jc w:val="both"/>
              <w:rPr>
                <w:b/>
                <w:bCs/>
                <w:sz w:val="22"/>
                <w:szCs w:val="22"/>
                <w:highlight w:val="yellow"/>
              </w:rPr>
            </w:pPr>
            <w:r w:rsidRPr="003C1C3A">
              <w:rPr>
                <w:b/>
                <w:bCs/>
                <w:sz w:val="22"/>
                <w:szCs w:val="22"/>
                <w:highlight w:val="yellow"/>
              </w:rPr>
              <w:t>Deliverables</w:t>
            </w:r>
          </w:p>
          <w:p w14:paraId="05A62DD4" w14:textId="17816FB6" w:rsidR="003C1C3A" w:rsidRPr="00C15267" w:rsidRDefault="003C1C3A" w:rsidP="003C1C3A">
            <w:pPr>
              <w:jc w:val="both"/>
              <w:rPr>
                <w:sz w:val="22"/>
                <w:szCs w:val="22"/>
                <w:highlight w:val="yellow"/>
              </w:rPr>
            </w:pPr>
            <w:r w:rsidRPr="003C1C3A">
              <w:rPr>
                <w:b/>
                <w:bCs/>
                <w:sz w:val="22"/>
                <w:szCs w:val="22"/>
                <w:highlight w:val="yellow"/>
              </w:rPr>
              <w:t>D7.1</w:t>
            </w:r>
            <w:r w:rsidRPr="003C1C3A">
              <w:rPr>
                <w:sz w:val="22"/>
                <w:szCs w:val="22"/>
                <w:highlight w:val="yellow"/>
              </w:rPr>
              <w:t xml:space="preserve"> – Data Management Plan — M6 </w:t>
            </w:r>
          </w:p>
          <w:p w14:paraId="45C3E0B4" w14:textId="77777777" w:rsidR="003C1C3A" w:rsidRPr="00C15267" w:rsidRDefault="003C1C3A" w:rsidP="003C1C3A">
            <w:pPr>
              <w:jc w:val="both"/>
              <w:rPr>
                <w:sz w:val="22"/>
                <w:szCs w:val="22"/>
                <w:highlight w:val="yellow"/>
              </w:rPr>
            </w:pPr>
            <w:r w:rsidRPr="003C1C3A">
              <w:rPr>
                <w:b/>
                <w:bCs/>
                <w:sz w:val="22"/>
                <w:szCs w:val="22"/>
                <w:highlight w:val="yellow"/>
              </w:rPr>
              <w:t>D7.2</w:t>
            </w:r>
            <w:r w:rsidRPr="003C1C3A">
              <w:rPr>
                <w:sz w:val="22"/>
                <w:szCs w:val="22"/>
                <w:highlight w:val="yellow"/>
              </w:rPr>
              <w:t xml:space="preserve"> – Evaluation Protocol and Assessment Planning Templates — M12 </w:t>
            </w:r>
          </w:p>
          <w:p w14:paraId="0D1FE4F9" w14:textId="2F2C1322" w:rsidR="003C1C3A" w:rsidRPr="00C15267" w:rsidRDefault="003C1C3A" w:rsidP="003C1C3A">
            <w:pPr>
              <w:jc w:val="both"/>
              <w:rPr>
                <w:sz w:val="22"/>
                <w:szCs w:val="22"/>
                <w:highlight w:val="yellow"/>
              </w:rPr>
            </w:pPr>
            <w:r w:rsidRPr="003C1C3A">
              <w:rPr>
                <w:b/>
                <w:bCs/>
                <w:sz w:val="22"/>
                <w:szCs w:val="22"/>
                <w:highlight w:val="yellow"/>
              </w:rPr>
              <w:t>D7.</w:t>
            </w:r>
            <w:r w:rsidR="001A66E6" w:rsidRPr="00C15267">
              <w:rPr>
                <w:b/>
                <w:bCs/>
                <w:sz w:val="22"/>
                <w:szCs w:val="22"/>
                <w:highlight w:val="yellow"/>
              </w:rPr>
              <w:t>3</w:t>
            </w:r>
            <w:r w:rsidRPr="003C1C3A">
              <w:rPr>
                <w:sz w:val="22"/>
                <w:szCs w:val="22"/>
                <w:highlight w:val="yellow"/>
              </w:rPr>
              <w:t xml:space="preserve"> – In-depth Assessment Reports (≥3 studies) — M42 </w:t>
            </w:r>
          </w:p>
          <w:p w14:paraId="37885425" w14:textId="58BCFA47" w:rsidR="003C1C3A" w:rsidRPr="003C1C3A" w:rsidRDefault="003C1C3A" w:rsidP="003C1C3A">
            <w:pPr>
              <w:jc w:val="both"/>
              <w:rPr>
                <w:sz w:val="22"/>
                <w:szCs w:val="22"/>
                <w:highlight w:val="yellow"/>
              </w:rPr>
            </w:pPr>
            <w:r w:rsidRPr="003C1C3A">
              <w:rPr>
                <w:b/>
                <w:bCs/>
                <w:sz w:val="22"/>
                <w:szCs w:val="22"/>
                <w:highlight w:val="yellow"/>
              </w:rPr>
              <w:t>D7.</w:t>
            </w:r>
            <w:r w:rsidR="001A66E6" w:rsidRPr="00C15267">
              <w:rPr>
                <w:b/>
                <w:bCs/>
                <w:sz w:val="22"/>
                <w:szCs w:val="22"/>
                <w:highlight w:val="yellow"/>
              </w:rPr>
              <w:t>4</w:t>
            </w:r>
            <w:r w:rsidRPr="003C1C3A">
              <w:rPr>
                <w:sz w:val="22"/>
                <w:szCs w:val="22"/>
                <w:highlight w:val="yellow"/>
              </w:rPr>
              <w:t xml:space="preserve"> – Final Evaluation Report and Evidence Package — M48</w:t>
            </w:r>
          </w:p>
          <w:p w14:paraId="2BA2A285" w14:textId="77777777" w:rsidR="003C1C3A" w:rsidRPr="00C15267" w:rsidRDefault="003C1C3A" w:rsidP="003C1C3A">
            <w:pPr>
              <w:jc w:val="both"/>
              <w:rPr>
                <w:b/>
                <w:bCs/>
                <w:sz w:val="22"/>
                <w:szCs w:val="22"/>
                <w:highlight w:val="yellow"/>
              </w:rPr>
            </w:pPr>
          </w:p>
          <w:p w14:paraId="0410DBB9" w14:textId="18CA8024" w:rsidR="003C1C3A" w:rsidRPr="003C1C3A" w:rsidRDefault="003C1C3A" w:rsidP="003C1C3A">
            <w:pPr>
              <w:jc w:val="both"/>
              <w:rPr>
                <w:b/>
                <w:bCs/>
                <w:sz w:val="22"/>
                <w:szCs w:val="22"/>
                <w:highlight w:val="yellow"/>
              </w:rPr>
            </w:pPr>
            <w:r w:rsidRPr="003C1C3A">
              <w:rPr>
                <w:b/>
                <w:bCs/>
                <w:sz w:val="22"/>
                <w:szCs w:val="22"/>
                <w:highlight w:val="yellow"/>
              </w:rPr>
              <w:t>Milestones</w:t>
            </w:r>
          </w:p>
          <w:p w14:paraId="4E4DD71E" w14:textId="662C4EE8" w:rsidR="008417EA" w:rsidRPr="00C15267" w:rsidRDefault="003C1C3A" w:rsidP="003C1C3A">
            <w:pPr>
              <w:jc w:val="both"/>
              <w:rPr>
                <w:sz w:val="22"/>
                <w:szCs w:val="22"/>
                <w:highlight w:val="yellow"/>
              </w:rPr>
            </w:pPr>
            <w:r w:rsidRPr="003C1C3A">
              <w:rPr>
                <w:b/>
                <w:bCs/>
                <w:sz w:val="22"/>
                <w:szCs w:val="22"/>
                <w:highlight w:val="yellow"/>
              </w:rPr>
              <w:t>MS7.1</w:t>
            </w:r>
            <w:r w:rsidRPr="003C1C3A">
              <w:rPr>
                <w:sz w:val="22"/>
                <w:szCs w:val="22"/>
                <w:highlight w:val="yellow"/>
              </w:rPr>
              <w:t xml:space="preserve"> – All studies pre-registered; data governance agreements signed</w:t>
            </w:r>
            <w:r w:rsidR="008417EA" w:rsidRPr="00C15267">
              <w:rPr>
                <w:sz w:val="22"/>
                <w:szCs w:val="22"/>
                <w:highlight w:val="yellow"/>
              </w:rPr>
              <w:t xml:space="preserve"> </w:t>
            </w:r>
            <w:r w:rsidRPr="003C1C3A">
              <w:rPr>
                <w:sz w:val="22"/>
                <w:szCs w:val="22"/>
                <w:highlight w:val="yellow"/>
              </w:rPr>
              <w:t xml:space="preserve">— M6 </w:t>
            </w:r>
          </w:p>
          <w:p w14:paraId="62BD4488" w14:textId="77777777" w:rsidR="008417EA" w:rsidRPr="00C15267" w:rsidRDefault="003C1C3A" w:rsidP="003C1C3A">
            <w:pPr>
              <w:jc w:val="both"/>
              <w:rPr>
                <w:sz w:val="22"/>
                <w:szCs w:val="22"/>
                <w:highlight w:val="yellow"/>
              </w:rPr>
            </w:pPr>
            <w:r w:rsidRPr="003C1C3A">
              <w:rPr>
                <w:b/>
                <w:bCs/>
                <w:sz w:val="22"/>
                <w:szCs w:val="22"/>
                <w:highlight w:val="yellow"/>
              </w:rPr>
              <w:t>MS7.2</w:t>
            </w:r>
            <w:r w:rsidRPr="003C1C3A">
              <w:rPr>
                <w:sz w:val="22"/>
                <w:szCs w:val="22"/>
                <w:highlight w:val="yellow"/>
              </w:rPr>
              <w:t xml:space="preserve"> – Assessment templates completed; registry linkage operational in ≥2 countries — M12 </w:t>
            </w:r>
          </w:p>
          <w:p w14:paraId="671A231F" w14:textId="6AC0C754" w:rsidR="008417EA" w:rsidRPr="00C15267" w:rsidRDefault="003C1C3A" w:rsidP="003C1C3A">
            <w:pPr>
              <w:jc w:val="both"/>
              <w:rPr>
                <w:sz w:val="22"/>
                <w:szCs w:val="22"/>
                <w:highlight w:val="yellow"/>
              </w:rPr>
            </w:pPr>
            <w:r w:rsidRPr="003C1C3A">
              <w:rPr>
                <w:b/>
                <w:bCs/>
                <w:sz w:val="22"/>
                <w:szCs w:val="22"/>
                <w:highlight w:val="yellow"/>
              </w:rPr>
              <w:t>MS7.3</w:t>
            </w:r>
            <w:r w:rsidRPr="003C1C3A">
              <w:rPr>
                <w:sz w:val="22"/>
                <w:szCs w:val="22"/>
                <w:highlight w:val="yellow"/>
              </w:rPr>
              <w:t xml:space="preserve"> – In-depth studies selected (≥3) — M30 </w:t>
            </w:r>
          </w:p>
          <w:p w14:paraId="15C9F83D" w14:textId="11FB0C78" w:rsidR="003C1C3A" w:rsidRPr="003C1C3A" w:rsidRDefault="003C1C3A" w:rsidP="003C1C3A">
            <w:pPr>
              <w:jc w:val="both"/>
              <w:rPr>
                <w:sz w:val="22"/>
                <w:szCs w:val="22"/>
                <w:highlight w:val="yellow"/>
              </w:rPr>
            </w:pPr>
            <w:r w:rsidRPr="003C1C3A">
              <w:rPr>
                <w:b/>
                <w:bCs/>
                <w:sz w:val="22"/>
                <w:szCs w:val="22"/>
                <w:highlight w:val="yellow"/>
              </w:rPr>
              <w:t>MS7.4</w:t>
            </w:r>
            <w:r w:rsidRPr="003C1C3A">
              <w:rPr>
                <w:sz w:val="22"/>
                <w:szCs w:val="22"/>
                <w:highlight w:val="yellow"/>
              </w:rPr>
              <w:t xml:space="preserve"> – Primary outcome data collection complete for ≥4 studies — M42</w:t>
            </w:r>
          </w:p>
          <w:p w14:paraId="198184A5" w14:textId="77777777" w:rsidR="003C1C3A" w:rsidRPr="00C15267" w:rsidRDefault="003C1C3A" w:rsidP="003C1C3A">
            <w:pPr>
              <w:jc w:val="both"/>
              <w:rPr>
                <w:b/>
                <w:bCs/>
                <w:sz w:val="22"/>
                <w:szCs w:val="22"/>
                <w:highlight w:val="yellow"/>
              </w:rPr>
            </w:pPr>
          </w:p>
          <w:p w14:paraId="00450033" w14:textId="3CDA3073" w:rsidR="003C1C3A" w:rsidRPr="003C1C3A" w:rsidRDefault="003C1C3A" w:rsidP="003C1C3A">
            <w:pPr>
              <w:jc w:val="both"/>
              <w:rPr>
                <w:b/>
                <w:bCs/>
                <w:sz w:val="22"/>
                <w:szCs w:val="22"/>
                <w:highlight w:val="yellow"/>
              </w:rPr>
            </w:pPr>
            <w:r w:rsidRPr="003C1C3A">
              <w:rPr>
                <w:b/>
                <w:bCs/>
                <w:sz w:val="22"/>
                <w:szCs w:val="22"/>
                <w:highlight w:val="yellow"/>
              </w:rPr>
              <w:t>Critical risks</w:t>
            </w:r>
          </w:p>
          <w:p w14:paraId="7225554E" w14:textId="77777777" w:rsidR="003C1C3A" w:rsidRPr="003C1C3A" w:rsidRDefault="003C1C3A" w:rsidP="003C1C3A">
            <w:pPr>
              <w:jc w:val="both"/>
              <w:rPr>
                <w:sz w:val="22"/>
                <w:szCs w:val="22"/>
                <w:highlight w:val="yellow"/>
              </w:rPr>
            </w:pPr>
            <w:r w:rsidRPr="003C1C3A">
              <w:rPr>
                <w:sz w:val="22"/>
                <w:szCs w:val="22"/>
                <w:highlight w:val="yellow"/>
              </w:rPr>
              <w:t xml:space="preserve">R1: Registry linkage failure. </w:t>
            </w:r>
            <w:r w:rsidRPr="003C1C3A">
              <w:rPr>
                <w:i/>
                <w:iCs/>
                <w:sz w:val="22"/>
                <w:szCs w:val="22"/>
                <w:highlight w:val="yellow"/>
              </w:rPr>
              <w:t>Mitigation:</w:t>
            </w:r>
            <w:r w:rsidRPr="003C1C3A">
              <w:rPr>
                <w:sz w:val="22"/>
                <w:szCs w:val="22"/>
                <w:highlight w:val="yellow"/>
              </w:rPr>
              <w:t xml:space="preserve"> Applications initiated M3; registry data supplements rather than replaces prospectively collected primary outcomes.</w:t>
            </w:r>
          </w:p>
          <w:p w14:paraId="1D4674B2" w14:textId="77777777" w:rsidR="003C1C3A" w:rsidRPr="003C1C3A" w:rsidRDefault="003C1C3A" w:rsidP="003C1C3A">
            <w:pPr>
              <w:jc w:val="both"/>
              <w:rPr>
                <w:sz w:val="22"/>
                <w:szCs w:val="22"/>
                <w:highlight w:val="yellow"/>
              </w:rPr>
            </w:pPr>
            <w:r w:rsidRPr="003C1C3A">
              <w:rPr>
                <w:sz w:val="22"/>
                <w:szCs w:val="22"/>
                <w:highlight w:val="yellow"/>
              </w:rPr>
              <w:t xml:space="preserve">R2: Follow-up attrition. </w:t>
            </w:r>
            <w:r w:rsidRPr="003C1C3A">
              <w:rPr>
                <w:i/>
                <w:iCs/>
                <w:sz w:val="22"/>
                <w:szCs w:val="22"/>
                <w:highlight w:val="yellow"/>
              </w:rPr>
              <w:t>Mitigation:</w:t>
            </w:r>
            <w:r w:rsidRPr="003C1C3A">
              <w:rPr>
                <w:sz w:val="22"/>
                <w:szCs w:val="22"/>
                <w:highlight w:val="yellow"/>
              </w:rPr>
              <w:t xml:space="preserve"> Digital-first protocols; power calculations assume ≥25% dropout; NIPH retention expertise applied across sites.</w:t>
            </w:r>
          </w:p>
          <w:p w14:paraId="32F78CFC" w14:textId="77777777" w:rsidR="003C1C3A" w:rsidRPr="003C1C3A" w:rsidRDefault="003C1C3A" w:rsidP="003C1C3A">
            <w:pPr>
              <w:jc w:val="both"/>
              <w:rPr>
                <w:sz w:val="22"/>
                <w:szCs w:val="22"/>
                <w:highlight w:val="yellow"/>
              </w:rPr>
            </w:pPr>
            <w:r w:rsidRPr="003C1C3A">
              <w:rPr>
                <w:sz w:val="22"/>
                <w:szCs w:val="22"/>
                <w:highlight w:val="yellow"/>
              </w:rPr>
              <w:t xml:space="preserve">R3: Policy delay disrupting natural experiments. </w:t>
            </w:r>
            <w:r w:rsidRPr="003C1C3A">
              <w:rPr>
                <w:i/>
                <w:iCs/>
                <w:sz w:val="22"/>
                <w:szCs w:val="22"/>
                <w:highlight w:val="yellow"/>
              </w:rPr>
              <w:t>Mitigation:</w:t>
            </w:r>
            <w:r w:rsidRPr="003C1C3A">
              <w:rPr>
                <w:sz w:val="22"/>
                <w:szCs w:val="22"/>
                <w:highlight w:val="yellow"/>
              </w:rPr>
              <w:t xml:space="preserve"> </w:t>
            </w:r>
            <w:proofErr w:type="spellStart"/>
            <w:r w:rsidRPr="003C1C3A">
              <w:rPr>
                <w:sz w:val="22"/>
                <w:szCs w:val="22"/>
                <w:highlight w:val="yellow"/>
              </w:rPr>
              <w:t>EuroHealthNet</w:t>
            </w:r>
            <w:proofErr w:type="spellEnd"/>
            <w:r w:rsidRPr="003C1C3A">
              <w:rPr>
                <w:sz w:val="22"/>
                <w:szCs w:val="22"/>
                <w:highlight w:val="yellow"/>
              </w:rPr>
              <w:t xml:space="preserve"> monitors implementation timelines in real time; multiple staggered quasi-experimental sites provide redundancy.</w:t>
            </w:r>
          </w:p>
          <w:p w14:paraId="5DE85B7D" w14:textId="77777777" w:rsidR="003C1C3A" w:rsidRPr="003C1C3A" w:rsidRDefault="003C1C3A" w:rsidP="003C1C3A">
            <w:pPr>
              <w:jc w:val="both"/>
              <w:rPr>
                <w:sz w:val="22"/>
                <w:szCs w:val="22"/>
                <w:highlight w:val="yellow"/>
              </w:rPr>
            </w:pPr>
            <w:r w:rsidRPr="003C1C3A">
              <w:rPr>
                <w:sz w:val="22"/>
                <w:szCs w:val="22"/>
                <w:highlight w:val="yellow"/>
              </w:rPr>
              <w:t xml:space="preserve">R4: Measurement non-equivalence across countries. </w:t>
            </w:r>
            <w:r w:rsidRPr="003C1C3A">
              <w:rPr>
                <w:i/>
                <w:iCs/>
                <w:sz w:val="22"/>
                <w:szCs w:val="22"/>
                <w:highlight w:val="yellow"/>
              </w:rPr>
              <w:t>Mitigation:</w:t>
            </w:r>
            <w:r w:rsidRPr="003C1C3A">
              <w:rPr>
                <w:sz w:val="22"/>
                <w:szCs w:val="22"/>
                <w:highlight w:val="yellow"/>
              </w:rPr>
              <w:t xml:space="preserve"> Validated cross-culturally adapted instruments specified in D7.2; measurement invariance tested before pooled analyses.</w:t>
            </w:r>
          </w:p>
          <w:p w14:paraId="360AB03D" w14:textId="77777777" w:rsidR="003C1C3A" w:rsidRPr="003C1C3A" w:rsidRDefault="003C1C3A" w:rsidP="003C1C3A">
            <w:pPr>
              <w:jc w:val="both"/>
              <w:rPr>
                <w:sz w:val="22"/>
                <w:szCs w:val="22"/>
                <w:highlight w:val="yellow"/>
              </w:rPr>
            </w:pPr>
            <w:r w:rsidRPr="003C1C3A">
              <w:rPr>
                <w:sz w:val="22"/>
                <w:szCs w:val="22"/>
                <w:highlight w:val="yellow"/>
              </w:rPr>
              <w:t xml:space="preserve">R5: Variable quality of self-assessed studies. </w:t>
            </w:r>
            <w:r w:rsidRPr="003C1C3A">
              <w:rPr>
                <w:i/>
                <w:iCs/>
                <w:sz w:val="22"/>
                <w:szCs w:val="22"/>
                <w:highlight w:val="yellow"/>
              </w:rPr>
              <w:t>Mitigation:</w:t>
            </w:r>
            <w:r w:rsidRPr="003C1C3A">
              <w:rPr>
                <w:sz w:val="22"/>
                <w:szCs w:val="22"/>
                <w:highlight w:val="yellow"/>
              </w:rPr>
              <w:t xml:space="preserve"> Prospective pre-registration and assessment templates set a minimum methodological bar; ICL provides statistical support throughout.</w:t>
            </w:r>
          </w:p>
          <w:p w14:paraId="705B8407" w14:textId="77777777" w:rsidR="00426D0C" w:rsidRPr="00040297" w:rsidRDefault="00426D0C" w:rsidP="0715BCBE">
            <w:pPr>
              <w:jc w:val="both"/>
              <w:rPr>
                <w:b/>
                <w:bCs/>
                <w:highlight w:val="yellow"/>
              </w:rPr>
            </w:pPr>
          </w:p>
        </w:tc>
      </w:tr>
    </w:tbl>
    <w:p w14:paraId="6707C732" w14:textId="3F9B496E" w:rsidR="0715BCBE" w:rsidRDefault="0715BCBE" w:rsidP="0715BCBE">
      <w:pPr>
        <w:jc w:val="both"/>
      </w:pPr>
      <w:r w:rsidRPr="0715BCBE">
        <w:rPr>
          <w:b/>
          <w:bCs/>
        </w:rPr>
        <w:t xml:space="preserve"> </w:t>
      </w:r>
    </w:p>
    <w:p w14:paraId="7F2435B9"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21"/>
        <w:gridCol w:w="6663"/>
      </w:tblGrid>
      <w:tr w:rsidR="0715BCBE" w14:paraId="35A0ADB5" w14:textId="77777777" w:rsidTr="00B2657C">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85F64A" w14:textId="575C1B4D" w:rsidR="0715BCBE" w:rsidRDefault="0715BCBE" w:rsidP="0715BCBE">
            <w:r w:rsidRPr="0715BCBE">
              <w:rPr>
                <w:b/>
                <w:bCs/>
              </w:rPr>
              <w:lastRenderedPageBreak/>
              <w:t xml:space="preserve">Work package number </w:t>
            </w:r>
          </w:p>
        </w:tc>
        <w:tc>
          <w:tcPr>
            <w:tcW w:w="6663" w:type="dxa"/>
            <w:tcBorders>
              <w:top w:val="single" w:sz="8" w:space="0" w:color="auto"/>
              <w:left w:val="single" w:sz="8" w:space="0" w:color="auto"/>
              <w:bottom w:val="single" w:sz="8" w:space="0" w:color="auto"/>
              <w:right w:val="single" w:sz="8" w:space="0" w:color="auto"/>
            </w:tcBorders>
            <w:tcMar>
              <w:left w:w="108" w:type="dxa"/>
              <w:right w:w="108" w:type="dxa"/>
            </w:tcMar>
          </w:tcPr>
          <w:p w14:paraId="336B1FE3" w14:textId="2786430F" w:rsidR="0715BCBE" w:rsidRDefault="0715BCBE" w:rsidP="0715BCBE">
            <w:r w:rsidRPr="0715BCBE">
              <w:t>8</w:t>
            </w:r>
          </w:p>
        </w:tc>
      </w:tr>
      <w:tr w:rsidR="0715BCBE" w14:paraId="3F515770" w14:textId="77777777" w:rsidTr="00B2657C">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57F8B0" w14:textId="3367256F" w:rsidR="0715BCBE" w:rsidRDefault="0715BCBE" w:rsidP="0715BCBE">
            <w:r w:rsidRPr="0715BCBE">
              <w:rPr>
                <w:b/>
                <w:bCs/>
              </w:rPr>
              <w:t>Work package title</w:t>
            </w:r>
          </w:p>
        </w:tc>
        <w:tc>
          <w:tcPr>
            <w:tcW w:w="6663" w:type="dxa"/>
            <w:tcBorders>
              <w:top w:val="single" w:sz="8" w:space="0" w:color="auto"/>
              <w:left w:val="single" w:sz="8" w:space="0" w:color="auto"/>
              <w:bottom w:val="single" w:sz="8" w:space="0" w:color="auto"/>
              <w:right w:val="single" w:sz="8" w:space="0" w:color="auto"/>
            </w:tcBorders>
            <w:tcMar>
              <w:left w:w="108" w:type="dxa"/>
              <w:right w:w="108" w:type="dxa"/>
            </w:tcMar>
          </w:tcPr>
          <w:p w14:paraId="43C1916F" w14:textId="4D12B16F" w:rsidR="0715BCBE" w:rsidRDefault="00B2657C" w:rsidP="0715BCBE">
            <w:r w:rsidRPr="00B2657C">
              <w:t>Sustainable implementation, Policy simulation &amp; Foresight</w:t>
            </w:r>
          </w:p>
        </w:tc>
      </w:tr>
      <w:tr w:rsidR="0715BCBE" w14:paraId="0D5F15E7" w14:textId="77777777" w:rsidTr="00B2657C">
        <w:trPr>
          <w:trHeight w:val="3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3BAD11" w14:textId="2F0774DB" w:rsidR="0715BCBE" w:rsidRDefault="0715BCBE" w:rsidP="0715BCBE">
            <w:r w:rsidRPr="0715BCBE">
              <w:rPr>
                <w:b/>
                <w:bCs/>
                <w:sz w:val="12"/>
                <w:szCs w:val="12"/>
              </w:rPr>
              <w:t xml:space="preserve"> </w:t>
            </w:r>
            <w:r w:rsidRPr="0715BCBE">
              <w:rPr>
                <w:b/>
                <w:bCs/>
              </w:rPr>
              <w:t>Objectives</w:t>
            </w:r>
          </w:p>
          <w:p w14:paraId="6E4BA8EE" w14:textId="77777777" w:rsidR="00B2657C" w:rsidRDefault="00B2657C" w:rsidP="00B2657C">
            <w:pPr>
              <w:pStyle w:val="ListParagraph"/>
              <w:numPr>
                <w:ilvl w:val="0"/>
                <w:numId w:val="24"/>
              </w:numPr>
            </w:pPr>
            <w:r w:rsidRPr="00B2657C">
              <w:t>Identify emerging behavioural, social, and technological trends shaping youth health behaviours and NCD risk factors.</w:t>
            </w:r>
          </w:p>
          <w:p w14:paraId="65CA6147" w14:textId="0194A2BE" w:rsidR="00B2657C" w:rsidRDefault="00B2657C" w:rsidP="00B2657C">
            <w:pPr>
              <w:pStyle w:val="ListParagraph"/>
              <w:numPr>
                <w:ilvl w:val="0"/>
                <w:numId w:val="24"/>
              </w:numPr>
            </w:pPr>
            <w:r w:rsidRPr="00B2657C">
              <w:t>Explore plausible future scenarios to 20</w:t>
            </w:r>
            <w:r w:rsidR="00A324B5">
              <w:t>5</w:t>
            </w:r>
            <w:r w:rsidRPr="00B2657C">
              <w:t>0 affecting the effectiveness, scalability and equity of behavioural interventions in different youth segments and contexts</w:t>
            </w:r>
          </w:p>
          <w:p w14:paraId="7A86CEE2" w14:textId="77777777" w:rsidR="00B2657C" w:rsidRDefault="00B2657C" w:rsidP="00B2657C">
            <w:pPr>
              <w:pStyle w:val="ListParagraph"/>
              <w:numPr>
                <w:ilvl w:val="0"/>
                <w:numId w:val="24"/>
              </w:numPr>
            </w:pPr>
            <w:r w:rsidRPr="00B2657C">
              <w:t xml:space="preserve">Integrate foresight and </w:t>
            </w:r>
            <w:r>
              <w:t>m</w:t>
            </w:r>
            <w:r w:rsidRPr="00B2657C">
              <w:t>odelling to assess the long-term robustness, adaptability and policy relevance of intervention strategies under alternative future conditions</w:t>
            </w:r>
          </w:p>
          <w:p w14:paraId="46EB1184" w14:textId="20BBBF19" w:rsidR="0715BCBE" w:rsidRPr="00B2657C" w:rsidRDefault="00B2657C" w:rsidP="00B2657C">
            <w:pPr>
              <w:pStyle w:val="ListParagraph"/>
              <w:numPr>
                <w:ilvl w:val="0"/>
                <w:numId w:val="24"/>
              </w:numPr>
            </w:pPr>
            <w:r w:rsidRPr="00B2657C">
              <w:t>Generate forward-looking policy recommendations,</w:t>
            </w:r>
            <w:r>
              <w:t xml:space="preserve"> </w:t>
            </w:r>
            <w:r w:rsidRPr="00B2657C">
              <w:t>adaptation pathways and communication outputs to support sustainable implementation and uptake.</w:t>
            </w:r>
          </w:p>
        </w:tc>
      </w:tr>
      <w:tr w:rsidR="00B2657C" w14:paraId="324FFD8C"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42F87" w14:textId="1E64E35E" w:rsidR="00B2657C" w:rsidRPr="003C28C6" w:rsidRDefault="00B2657C" w:rsidP="00B2657C">
            <w:pPr>
              <w:jc w:val="both"/>
            </w:pPr>
            <w:r w:rsidRPr="003C28C6">
              <w:rPr>
                <w:b/>
                <w:bCs/>
              </w:rPr>
              <w:t>Description of work</w:t>
            </w:r>
          </w:p>
          <w:p w14:paraId="01704914" w14:textId="77777777" w:rsidR="00B2657C" w:rsidRPr="003C28C6" w:rsidRDefault="00B2657C" w:rsidP="00B2657C">
            <w:pPr>
              <w:jc w:val="both"/>
              <w:rPr>
                <w:b/>
                <w:bCs/>
              </w:rPr>
            </w:pPr>
            <w:r w:rsidRPr="003C28C6">
              <w:rPr>
                <w:b/>
                <w:bCs/>
              </w:rPr>
              <w:t xml:space="preserve">Task 8.1 – Horizon scanning, prioritisation of drivers and </w:t>
            </w:r>
            <w:proofErr w:type="spellStart"/>
            <w:r w:rsidRPr="003C28C6">
              <w:rPr>
                <w:b/>
                <w:bCs/>
              </w:rPr>
              <w:t>participatorysense</w:t>
            </w:r>
            <w:proofErr w:type="spellEnd"/>
            <w:r w:rsidRPr="003C28C6">
              <w:rPr>
                <w:b/>
                <w:bCs/>
              </w:rPr>
              <w:t>-making (Lead: ISINNOVA)</w:t>
            </w:r>
          </w:p>
          <w:p w14:paraId="4BB0417B" w14:textId="77777777" w:rsidR="00B2657C" w:rsidRPr="003C28C6" w:rsidRDefault="00B2657C" w:rsidP="00B2657C">
            <w:pPr>
              <w:jc w:val="both"/>
            </w:pPr>
            <w:r w:rsidRPr="003C28C6">
              <w:t xml:space="preserve">This task initiates the foresight cycle through a structured horizon scanning and sense-making process aimed </w:t>
            </w:r>
            <w:proofErr w:type="gramStart"/>
            <w:r w:rsidRPr="003C28C6">
              <w:t>at  identifying</w:t>
            </w:r>
            <w:proofErr w:type="gramEnd"/>
            <w:r w:rsidRPr="003C28C6">
              <w:t xml:space="preserve"> critical drivers of change, emerging trends, weak signals, and potential disruptions shaping youth health </w:t>
            </w:r>
            <w:proofErr w:type="spellStart"/>
            <w:proofErr w:type="gramStart"/>
            <w:r w:rsidRPr="003C28C6">
              <w:t>behaviours,NCD</w:t>
            </w:r>
            <w:proofErr w:type="spellEnd"/>
            <w:proofErr w:type="gramEnd"/>
            <w:r w:rsidRPr="003C28C6">
              <w:t xml:space="preserve"> risk factors and exposure pathways linked to NCD prevention. The task combines: (</w:t>
            </w:r>
            <w:proofErr w:type="spellStart"/>
            <w:r w:rsidRPr="003C28C6">
              <w:t>i</w:t>
            </w:r>
            <w:proofErr w:type="spellEnd"/>
            <w:r w:rsidRPr="003C28C6">
              <w:t xml:space="preserve">) systematic desk research and </w:t>
            </w:r>
            <w:proofErr w:type="spellStart"/>
            <w:r w:rsidRPr="003C28C6">
              <w:t>rieview</w:t>
            </w:r>
            <w:proofErr w:type="spellEnd"/>
            <w:r w:rsidRPr="003C28C6">
              <w:t xml:space="preserve"> of scientific,  grey and foresight literature; (ii) social media signal scanning across platforms and online spaces relevant to diverse youth segments, in order to </w:t>
            </w:r>
            <w:proofErr w:type="spellStart"/>
            <w:r w:rsidRPr="003C28C6">
              <w:t>to</w:t>
            </w:r>
            <w:proofErr w:type="spellEnd"/>
            <w:r w:rsidRPr="003C28C6">
              <w:t xml:space="preserve"> detect evolving behaviours, attitudes, narratives, motivations, barriers and inequalities; (iii) stakeholder-informed inputs, including semi-structured interviews with multidisciplinary experts, to refine and contextualise emerging insights; and (iv) collective and participatory sense-making exercises with  a multidisciplinary panel (including youth representatives) to identify key trends, potential mismatches with intervention assumptions, and early warning signals of unintended consequences or exclusion.</w:t>
            </w:r>
          </w:p>
          <w:p w14:paraId="43CCF4E2" w14:textId="77777777" w:rsidR="00B2657C" w:rsidRPr="003C28C6" w:rsidRDefault="00B2657C" w:rsidP="00B2657C">
            <w:pPr>
              <w:jc w:val="both"/>
            </w:pPr>
            <w:r w:rsidRPr="003C28C6">
              <w:t xml:space="preserve">A Delphi-inspired survey process will then be used to assess the relevance and uncertainty of identified drivers and to prioritise key trends and critical uncertainties. The main outputs of this phased task will be </w:t>
            </w:r>
            <w:proofErr w:type="gramStart"/>
            <w:r w:rsidRPr="003C28C6">
              <w:t>a validated evidence</w:t>
            </w:r>
            <w:proofErr w:type="gramEnd"/>
            <w:r w:rsidRPr="003C28C6">
              <w:t xml:space="preserve"> base for scenario development (T8.3) and for assessing the </w:t>
            </w:r>
            <w:proofErr w:type="gramStart"/>
            <w:r w:rsidRPr="003C28C6">
              <w:t>future  robustness</w:t>
            </w:r>
            <w:proofErr w:type="gramEnd"/>
            <w:r w:rsidRPr="003C28C6">
              <w:t xml:space="preserve"> and equity implications of Z-HEALTH interventions (T8.4). </w:t>
            </w:r>
          </w:p>
          <w:p w14:paraId="28DB684E" w14:textId="77777777" w:rsidR="00B2657C" w:rsidRPr="003C28C6" w:rsidRDefault="00B2657C" w:rsidP="00B2657C">
            <w:pPr>
              <w:jc w:val="both"/>
            </w:pPr>
          </w:p>
          <w:p w14:paraId="043D48E3" w14:textId="77777777" w:rsidR="00B2657C" w:rsidRPr="003C28C6" w:rsidRDefault="00B2657C" w:rsidP="00B2657C">
            <w:pPr>
              <w:jc w:val="both"/>
            </w:pPr>
            <w:r w:rsidRPr="003C28C6">
              <w:rPr>
                <w:b/>
                <w:bCs/>
              </w:rPr>
              <w:t xml:space="preserve">Task 8.2 Policy simulation and modelling of long-term </w:t>
            </w:r>
            <w:proofErr w:type="gramStart"/>
            <w:r w:rsidRPr="003C28C6">
              <w:rPr>
                <w:b/>
                <w:bCs/>
              </w:rPr>
              <w:t>impacts  (</w:t>
            </w:r>
            <w:proofErr w:type="gramEnd"/>
            <w:r w:rsidRPr="003C28C6">
              <w:rPr>
                <w:b/>
                <w:bCs/>
              </w:rPr>
              <w:t xml:space="preserve"> ICL – role of participants)</w:t>
            </w:r>
          </w:p>
          <w:p w14:paraId="3E21EA0E" w14:textId="77777777" w:rsidR="00B2657C" w:rsidRPr="003C28C6" w:rsidRDefault="00B2657C" w:rsidP="00B2657C">
            <w:pPr>
              <w:jc w:val="both"/>
            </w:pPr>
            <w:r w:rsidRPr="003C28C6">
              <w:t>This task will model the long-term health and policy implications of scaling Z-HEALTH interventions under alternative implementation and policy conditions. Building on intervention evidence generated by the project and informed by the outputs of Task 8.1, the modelling work will estimate the potential long-term effects of selected intervention strategies on youth health trajectories and NCD-related outcomes.</w:t>
            </w:r>
          </w:p>
          <w:p w14:paraId="361D00C4" w14:textId="77777777" w:rsidR="00B2657C" w:rsidRPr="003C28C6" w:rsidRDefault="00B2657C" w:rsidP="00B2657C">
            <w:pPr>
              <w:jc w:val="both"/>
            </w:pPr>
            <w:r w:rsidRPr="003C28C6">
              <w:t xml:space="preserve">The task will develop </w:t>
            </w:r>
            <w:r w:rsidRPr="003C28C6">
              <w:rPr>
                <w:b/>
                <w:bCs/>
              </w:rPr>
              <w:t>policy simulation scenarios</w:t>
            </w:r>
            <w:r w:rsidRPr="003C28C6">
              <w:t xml:space="preserve"> to assess the likely impacts, cost-effectiveness, and distributional implications of intervention uptake across different socio-economic and national contexts. It will also identify the parameters and indicators most relevant for linking foresight outputs to modelling assumptions, ensuring that scenario narratives developed in WP8 can inform quantitative projections. The task will work in close interaction with the evaluation and intervention WPs to ensure methodological alignment and consistency of assumptions.</w:t>
            </w:r>
          </w:p>
          <w:p w14:paraId="11B32557" w14:textId="77777777" w:rsidR="00B2657C" w:rsidRPr="003C28C6" w:rsidRDefault="00B2657C" w:rsidP="00B2657C">
            <w:pPr>
              <w:jc w:val="both"/>
            </w:pPr>
            <w:r w:rsidRPr="003C28C6">
              <w:t xml:space="preserve">This task will generate the </w:t>
            </w:r>
            <w:r w:rsidRPr="003C28C6">
              <w:rPr>
                <w:b/>
                <w:bCs/>
              </w:rPr>
              <w:t>modelling backbone for the integrated policy pathways</w:t>
            </w:r>
            <w:r w:rsidRPr="003C28C6">
              <w:t xml:space="preserve"> developed later in WP8.</w:t>
            </w:r>
          </w:p>
          <w:p w14:paraId="20AC2EAF" w14:textId="77777777" w:rsidR="00B2657C" w:rsidRPr="003C28C6" w:rsidRDefault="00B2657C" w:rsidP="00B2657C">
            <w:pPr>
              <w:jc w:val="both"/>
            </w:pPr>
          </w:p>
          <w:p w14:paraId="0887AC45" w14:textId="77777777" w:rsidR="00B2657C" w:rsidRPr="003C28C6" w:rsidRDefault="00B2657C" w:rsidP="00B2657C">
            <w:pPr>
              <w:jc w:val="both"/>
              <w:rPr>
                <w:b/>
                <w:bCs/>
              </w:rPr>
            </w:pPr>
            <w:r w:rsidRPr="003C28C6">
              <w:rPr>
                <w:b/>
                <w:bCs/>
              </w:rPr>
              <w:t>Task 8.3</w:t>
            </w:r>
            <w:r w:rsidRPr="003C28C6">
              <w:t xml:space="preserve"> </w:t>
            </w:r>
            <w:r w:rsidRPr="003C28C6">
              <w:rPr>
                <w:b/>
                <w:bCs/>
              </w:rPr>
              <w:t>Scenario development and stress testing of interventions (Lead: ISINNOVA)</w:t>
            </w:r>
          </w:p>
          <w:p w14:paraId="57E88B7C" w14:textId="77777777" w:rsidR="00B2657C" w:rsidRPr="003C28C6" w:rsidRDefault="00B2657C" w:rsidP="00B2657C">
            <w:pPr>
              <w:jc w:val="both"/>
            </w:pPr>
            <w:r w:rsidRPr="003C28C6">
              <w:t xml:space="preserve">Building on the prioritised trends and uncertainties identified in T8.1,, this task will develop a coherent scenario space and a set of 3–4 plausible future scenarios (to 2040) describing how youth health behaviours and key drivers of Non-Communicable Diseases (NCDs) may </w:t>
            </w:r>
            <w:proofErr w:type="spellStart"/>
            <w:r w:rsidRPr="003C28C6">
              <w:t>evolve.The</w:t>
            </w:r>
            <w:proofErr w:type="spellEnd"/>
            <w:r w:rsidRPr="003C28C6">
              <w:t xml:space="preserve"> scenarios will be co-developed through participatory foresight methods involving youth representatives, researchers, and stakeholders, ensuring diversity of perspectives and analytical relevance. The process will include a </w:t>
            </w:r>
            <w:r w:rsidRPr="003C28C6">
              <w:rPr>
                <w:b/>
                <w:bCs/>
              </w:rPr>
              <w:lastRenderedPageBreak/>
              <w:t>scenario consolidation workshop</w:t>
            </w:r>
            <w:r w:rsidRPr="003C28C6">
              <w:t xml:space="preserve"> to collaboratively define key axes of uncertainty derived from the prioritised drivers and construct contrasting scenario logics capturing alternative evolutions of behavioural dynamics, social norms, and structural determinants affecting youth. Scenario narratives will then be elaborated and validated through structured consistency checks and expert validation to ensure analytical rigour, coherence, and </w:t>
            </w:r>
            <w:proofErr w:type="spellStart"/>
            <w:r w:rsidRPr="003C28C6">
              <w:t>plausability</w:t>
            </w:r>
            <w:proofErr w:type="spellEnd"/>
            <w:r w:rsidRPr="003C28C6">
              <w:t>.</w:t>
            </w:r>
          </w:p>
          <w:p w14:paraId="0F3C0BA3" w14:textId="77777777" w:rsidR="00B2657C" w:rsidRPr="003C28C6" w:rsidRDefault="00B2657C" w:rsidP="00B2657C">
            <w:pPr>
              <w:jc w:val="both"/>
            </w:pPr>
            <w:proofErr w:type="gramStart"/>
            <w:r w:rsidRPr="003C28C6">
              <w:t>Particular attention</w:t>
            </w:r>
            <w:proofErr w:type="gramEnd"/>
            <w:r w:rsidRPr="003C28C6">
              <w:t xml:space="preserve"> will be paid to how emerging trends in digital platforms, social norms, commercial exposure patterns, institutional trust, and regulatory conditions may reshape behavioural dynamics and intervention contexts across socio-economic and cultural settings.</w:t>
            </w:r>
          </w:p>
          <w:p w14:paraId="0D971BCC" w14:textId="77777777" w:rsidR="00B2657C" w:rsidRPr="003C28C6" w:rsidRDefault="00B2657C" w:rsidP="00B2657C">
            <w:pPr>
              <w:jc w:val="both"/>
            </w:pPr>
            <w:r w:rsidRPr="003C28C6">
              <w:t xml:space="preserve">The scenarios will subsequently be used as a </w:t>
            </w:r>
            <w:r w:rsidRPr="003C28C6">
              <w:rPr>
                <w:b/>
                <w:bCs/>
              </w:rPr>
              <w:t>framework to stress test behavioural interventions</w:t>
            </w:r>
            <w:r w:rsidRPr="003C28C6">
              <w:t xml:space="preserve"> targeting NCD prevention and associated policy approaches. This will assess:</w:t>
            </w:r>
          </w:p>
          <w:p w14:paraId="791221B2" w14:textId="77777777" w:rsidR="00B2657C" w:rsidRPr="003C28C6" w:rsidRDefault="00B2657C" w:rsidP="00B2657C">
            <w:pPr>
              <w:numPr>
                <w:ilvl w:val="0"/>
                <w:numId w:val="25"/>
              </w:numPr>
              <w:jc w:val="both"/>
            </w:pPr>
            <w:r w:rsidRPr="003C28C6">
              <w:t xml:space="preserve">robustness and fragility of intervention mechanisms under different future conditions </w:t>
            </w:r>
          </w:p>
          <w:p w14:paraId="47A39988" w14:textId="77777777" w:rsidR="00B2657C" w:rsidRPr="003C28C6" w:rsidRDefault="00B2657C" w:rsidP="00B2657C">
            <w:pPr>
              <w:numPr>
                <w:ilvl w:val="0"/>
                <w:numId w:val="25"/>
              </w:numPr>
              <w:jc w:val="both"/>
            </w:pPr>
            <w:r w:rsidRPr="003C28C6">
              <w:t xml:space="preserve">scalability and transferability across youth segments and countries </w:t>
            </w:r>
          </w:p>
          <w:p w14:paraId="6A45D796" w14:textId="77777777" w:rsidR="00B2657C" w:rsidRPr="003C28C6" w:rsidRDefault="00B2657C" w:rsidP="00B2657C">
            <w:pPr>
              <w:numPr>
                <w:ilvl w:val="0"/>
                <w:numId w:val="25"/>
              </w:numPr>
              <w:jc w:val="both"/>
            </w:pPr>
            <w:r w:rsidRPr="003C28C6">
              <w:t xml:space="preserve">potential equity implications, including risks of exclusion or widening inequalities  </w:t>
            </w:r>
          </w:p>
          <w:p w14:paraId="146C85E3" w14:textId="77777777" w:rsidR="00B2657C" w:rsidRPr="003C28C6" w:rsidRDefault="00B2657C" w:rsidP="00B2657C">
            <w:pPr>
              <w:numPr>
                <w:ilvl w:val="0"/>
                <w:numId w:val="25"/>
              </w:numPr>
              <w:jc w:val="both"/>
            </w:pPr>
            <w:r w:rsidRPr="003C28C6">
              <w:t>needs for policy adjustment, complementary measures, or safeguarding mechanisms</w:t>
            </w:r>
          </w:p>
          <w:p w14:paraId="22591AA0" w14:textId="77777777" w:rsidR="00B2657C" w:rsidRPr="003C28C6" w:rsidRDefault="00B2657C" w:rsidP="00B2657C">
            <w:pPr>
              <w:jc w:val="both"/>
            </w:pPr>
          </w:p>
          <w:p w14:paraId="4F5F38B3" w14:textId="77777777" w:rsidR="00B2657C" w:rsidRPr="003C28C6" w:rsidRDefault="00B2657C" w:rsidP="00B2657C">
            <w:pPr>
              <w:jc w:val="both"/>
            </w:pPr>
            <w:r w:rsidRPr="003C28C6">
              <w:t xml:space="preserve">This task will provide the strategic bridge between qualitative foresight and quantitative </w:t>
            </w:r>
            <w:proofErr w:type="gramStart"/>
            <w:r w:rsidRPr="003C28C6">
              <w:t>modelling, and</w:t>
            </w:r>
            <w:proofErr w:type="gramEnd"/>
            <w:r w:rsidRPr="003C28C6">
              <w:t xml:space="preserve"> will support the development of future-proof intervention and policy pathways in T8.4.</w:t>
            </w:r>
          </w:p>
          <w:p w14:paraId="130F1D4C" w14:textId="77777777" w:rsidR="00B2657C" w:rsidRPr="003C28C6" w:rsidRDefault="00B2657C" w:rsidP="00B2657C">
            <w:pPr>
              <w:jc w:val="both"/>
            </w:pPr>
          </w:p>
          <w:p w14:paraId="45E3A029" w14:textId="248D9C3D" w:rsidR="00B2657C" w:rsidRPr="003C28C6" w:rsidRDefault="00B2657C" w:rsidP="00B2657C">
            <w:pPr>
              <w:jc w:val="both"/>
              <w:rPr>
                <w:b/>
                <w:bCs/>
              </w:rPr>
            </w:pPr>
            <w:r w:rsidRPr="003C28C6">
              <w:rPr>
                <w:b/>
                <w:bCs/>
              </w:rPr>
              <w:t xml:space="preserve">Task 8.4 Evaluation of integrated </w:t>
            </w:r>
            <w:proofErr w:type="gramStart"/>
            <w:r w:rsidRPr="003C28C6">
              <w:rPr>
                <w:b/>
                <w:bCs/>
              </w:rPr>
              <w:t>pathways,  policy</w:t>
            </w:r>
            <w:proofErr w:type="gramEnd"/>
            <w:r w:rsidR="0071192A">
              <w:rPr>
                <w:b/>
                <w:bCs/>
              </w:rPr>
              <w:t xml:space="preserve"> </w:t>
            </w:r>
            <w:r w:rsidRPr="003C28C6">
              <w:rPr>
                <w:b/>
                <w:bCs/>
              </w:rPr>
              <w:t xml:space="preserve">recommendations and foresight </w:t>
            </w:r>
            <w:proofErr w:type="gramStart"/>
            <w:r w:rsidRPr="003C28C6">
              <w:rPr>
                <w:b/>
                <w:bCs/>
              </w:rPr>
              <w:t>uptake  (</w:t>
            </w:r>
            <w:proofErr w:type="gramEnd"/>
            <w:r w:rsidRPr="003C28C6">
              <w:rPr>
                <w:b/>
                <w:bCs/>
              </w:rPr>
              <w:t>ICL/ISINNOVA)</w:t>
            </w:r>
          </w:p>
          <w:p w14:paraId="48841D89" w14:textId="77777777" w:rsidR="00B2657C" w:rsidRPr="003C28C6" w:rsidRDefault="00B2657C" w:rsidP="00B2657C">
            <w:pPr>
              <w:jc w:val="both"/>
            </w:pPr>
            <w:r w:rsidRPr="003C28C6">
              <w:t>This task will synthesise the findings from modelling and foresight into actionable policy pathways and recommendations to support the sustainable implementation of Z-HEALTH interventions. It will identify how interventions may need to be adapted, combined, or sequenced under different future conditions, and which regulatory, educational, communicative, and infrastructural levers are needed to support their implementation and scale-up.</w:t>
            </w:r>
          </w:p>
          <w:p w14:paraId="0F6DE60B" w14:textId="77777777" w:rsidR="00B2657C" w:rsidRPr="003C28C6" w:rsidRDefault="00B2657C" w:rsidP="00B2657C">
            <w:pPr>
              <w:jc w:val="both"/>
            </w:pPr>
            <w:r w:rsidRPr="003C28C6">
              <w:t>The task will translate the integrated outputs of Tasks 8.2 and 8.3 into policy-relevant recommendations for EU, national, and local actors, with attention to intervention effectiveness, equity, and long-term resilience. [EXPAND ON RECOMMENDATION ACTIVITIES AND APPROACH]</w:t>
            </w:r>
          </w:p>
          <w:p w14:paraId="061EDC3D" w14:textId="77777777" w:rsidR="00B2657C" w:rsidRPr="003C28C6" w:rsidRDefault="00B2657C" w:rsidP="00B2657C">
            <w:pPr>
              <w:jc w:val="both"/>
            </w:pPr>
            <w:r w:rsidRPr="003C28C6">
              <w:t>It will also generate a communication-oriented output stream, including open-</w:t>
            </w:r>
            <w:proofErr w:type="gramStart"/>
            <w:r w:rsidRPr="003C28C6">
              <w:t xml:space="preserve">access  </w:t>
            </w:r>
            <w:r w:rsidRPr="003C28C6">
              <w:rPr>
                <w:b/>
                <w:bCs/>
              </w:rPr>
              <w:t>web</w:t>
            </w:r>
            <w:proofErr w:type="gramEnd"/>
            <w:r w:rsidRPr="003C28C6">
              <w:rPr>
                <w:b/>
                <w:bCs/>
              </w:rPr>
              <w:t>-based foresight storylines and visual narratives</w:t>
            </w:r>
            <w:r w:rsidRPr="003C28C6">
              <w:t>, developed in coordination with WP9, to support dissemination, strengthen stakeholder engagement, and increase the long-term impact of foresight visions.</w:t>
            </w:r>
          </w:p>
          <w:p w14:paraId="435E4978" w14:textId="68F3B207" w:rsidR="00B2657C" w:rsidRDefault="00B2657C" w:rsidP="00B2657C">
            <w:r w:rsidRPr="003C28C6">
              <w:t xml:space="preserve">The storylines will translate trends, uncertainties, scenarios, and policy insights into accessible and visually engaging narratives for policymakers, practitioners, educators, youth organisations and the wider public. Structured around two main sections, </w:t>
            </w:r>
            <w:r w:rsidRPr="003C28C6">
              <w:rPr>
                <w:i/>
                <w:iCs/>
              </w:rPr>
              <w:t>Challenges</w:t>
            </w:r>
            <w:r w:rsidRPr="003C28C6">
              <w:t xml:space="preserve"> and </w:t>
            </w:r>
            <w:r w:rsidRPr="003C28C6">
              <w:rPr>
                <w:i/>
                <w:iCs/>
              </w:rPr>
              <w:t>Visions</w:t>
            </w:r>
            <w:r w:rsidRPr="003C28C6">
              <w:t xml:space="preserve">, the platform will combine concise texts, infographics, and interactive elements to illustrate how youth health behaviours and intervention conditions may evolve towards 2040. Youth participants will contribute to the co-creation and validation of the storylines, ensuring relevance, credibility, and communication value. </w:t>
            </w:r>
          </w:p>
        </w:tc>
      </w:tr>
      <w:tr w:rsidR="00B2657C" w14:paraId="17C25D17"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86381E" w14:textId="77777777" w:rsidR="00B2657C" w:rsidRPr="00B2657C" w:rsidRDefault="00B2657C" w:rsidP="00B2657C">
            <w:pPr>
              <w:jc w:val="both"/>
              <w:rPr>
                <w:b/>
                <w:bCs/>
              </w:rPr>
            </w:pPr>
            <w:r w:rsidRPr="00B2657C">
              <w:rPr>
                <w:b/>
                <w:bCs/>
              </w:rPr>
              <w:t xml:space="preserve"> Deliverables</w:t>
            </w:r>
          </w:p>
          <w:p w14:paraId="3123A3A0" w14:textId="77777777" w:rsidR="00B2657C" w:rsidRPr="00B2657C" w:rsidRDefault="00B2657C" w:rsidP="00B2657C">
            <w:pPr>
              <w:jc w:val="both"/>
            </w:pPr>
            <w:r w:rsidRPr="00B2657C">
              <w:t xml:space="preserve">D8.X – Horizon scanning and participatory sense-making report </w:t>
            </w:r>
          </w:p>
          <w:p w14:paraId="3F490AF7" w14:textId="77777777" w:rsidR="00B2657C" w:rsidRPr="00B2657C" w:rsidRDefault="00B2657C" w:rsidP="00B2657C">
            <w:pPr>
              <w:jc w:val="both"/>
            </w:pPr>
            <w:r w:rsidRPr="00B2657C">
              <w:t>D8.X - Policy simulation framework and modelling report</w:t>
            </w:r>
          </w:p>
          <w:p w14:paraId="70367766" w14:textId="77777777" w:rsidR="00B2657C" w:rsidRPr="00B2657C" w:rsidRDefault="00B2657C" w:rsidP="00B2657C">
            <w:pPr>
              <w:jc w:val="both"/>
            </w:pPr>
            <w:r w:rsidRPr="00B2657C">
              <w:t xml:space="preserve">D8.X – Foresight scenarios report on future drivers of youth health behaviours </w:t>
            </w:r>
          </w:p>
          <w:p w14:paraId="748F83CE" w14:textId="77777777" w:rsidR="00B2657C" w:rsidRPr="00B2657C" w:rsidRDefault="00B2657C" w:rsidP="00B2657C">
            <w:pPr>
              <w:jc w:val="both"/>
            </w:pPr>
            <w:r w:rsidRPr="00B2657C">
              <w:t>D8.X – Policy pathways and recommendations report (integrating foresight and modelling)</w:t>
            </w:r>
          </w:p>
          <w:p w14:paraId="40C06A80" w14:textId="77777777" w:rsidR="00B2657C" w:rsidRPr="00B2657C" w:rsidRDefault="00B2657C" w:rsidP="00B2657C">
            <w:pPr>
              <w:jc w:val="both"/>
            </w:pPr>
            <w:r w:rsidRPr="00B2657C">
              <w:t>D8.X - Web-based foresight storylines</w:t>
            </w:r>
          </w:p>
          <w:p w14:paraId="284B94B5" w14:textId="77777777" w:rsidR="00040297" w:rsidRDefault="00040297" w:rsidP="00B2657C">
            <w:pPr>
              <w:jc w:val="both"/>
              <w:rPr>
                <w:b/>
                <w:bCs/>
              </w:rPr>
            </w:pPr>
          </w:p>
          <w:p w14:paraId="30C2834C" w14:textId="77777777" w:rsidR="00B2657C" w:rsidRPr="00B2657C" w:rsidRDefault="00B2657C" w:rsidP="00B2657C">
            <w:pPr>
              <w:jc w:val="both"/>
              <w:rPr>
                <w:b/>
                <w:bCs/>
              </w:rPr>
            </w:pPr>
            <w:r w:rsidRPr="00B2657C">
              <w:rPr>
                <w:b/>
                <w:bCs/>
              </w:rPr>
              <w:t>Milestones</w:t>
            </w:r>
          </w:p>
          <w:p w14:paraId="3133C96F" w14:textId="77777777" w:rsidR="00B2657C" w:rsidRPr="00B2657C" w:rsidRDefault="00B2657C" w:rsidP="00B2657C">
            <w:pPr>
              <w:jc w:val="both"/>
            </w:pPr>
            <w:r w:rsidRPr="00B2657C">
              <w:t xml:space="preserve">MS8.X – Completion of horizon scanning and validation of key trends/uncertainties </w:t>
            </w:r>
          </w:p>
          <w:p w14:paraId="2AC38476" w14:textId="77777777" w:rsidR="00B2657C" w:rsidRPr="00B2657C" w:rsidRDefault="00B2657C" w:rsidP="00B2657C">
            <w:pPr>
              <w:jc w:val="both"/>
            </w:pPr>
            <w:r w:rsidRPr="00B2657C">
              <w:t>MS8.X Set of future scenarios (2035–2040) developed and validated through stakeholder and youth workshops, ensuring relevance, diversity of perspectives, and policy applicability.</w:t>
            </w:r>
          </w:p>
          <w:p w14:paraId="29BD743E" w14:textId="77777777" w:rsidR="00B2657C" w:rsidRPr="00B2657C" w:rsidRDefault="00B2657C" w:rsidP="00B2657C">
            <w:pPr>
              <w:jc w:val="both"/>
            </w:pPr>
          </w:p>
          <w:p w14:paraId="64212C0A" w14:textId="77777777" w:rsidR="00B2657C" w:rsidRPr="00B2657C" w:rsidRDefault="00B2657C" w:rsidP="00B2657C">
            <w:pPr>
              <w:jc w:val="both"/>
              <w:rPr>
                <w:b/>
                <w:bCs/>
              </w:rPr>
            </w:pPr>
            <w:r w:rsidRPr="00B2657C">
              <w:rPr>
                <w:b/>
                <w:bCs/>
              </w:rPr>
              <w:lastRenderedPageBreak/>
              <w:t>Critical risks</w:t>
            </w:r>
          </w:p>
          <w:tbl>
            <w:tblPr>
              <w:tblStyle w:val="TableGrid"/>
              <w:tblW w:w="0" w:type="auto"/>
              <w:tblLook w:val="04A0" w:firstRow="1" w:lastRow="0" w:firstColumn="1" w:lastColumn="0" w:noHBand="0" w:noVBand="1"/>
            </w:tblPr>
            <w:tblGrid>
              <w:gridCol w:w="3031"/>
              <w:gridCol w:w="1030"/>
              <w:gridCol w:w="708"/>
              <w:gridCol w:w="5189"/>
            </w:tblGrid>
            <w:tr w:rsidR="00B2657C" w:rsidRPr="00B2657C" w14:paraId="66877FEE" w14:textId="77777777" w:rsidTr="000E66CE">
              <w:tc>
                <w:tcPr>
                  <w:tcW w:w="3133" w:type="dxa"/>
                </w:tcPr>
                <w:p w14:paraId="67A35A57" w14:textId="77777777" w:rsidR="00B2657C" w:rsidRPr="00B2657C" w:rsidRDefault="00B2657C" w:rsidP="00B2657C">
                  <w:pPr>
                    <w:jc w:val="both"/>
                    <w:rPr>
                      <w:highlight w:val="yellow"/>
                    </w:rPr>
                  </w:pPr>
                </w:p>
              </w:tc>
              <w:tc>
                <w:tcPr>
                  <w:tcW w:w="992" w:type="dxa"/>
                </w:tcPr>
                <w:p w14:paraId="00CDAC3A" w14:textId="77777777" w:rsidR="00B2657C" w:rsidRPr="00B2657C" w:rsidRDefault="00B2657C" w:rsidP="00B2657C">
                  <w:pPr>
                    <w:jc w:val="both"/>
                    <w:rPr>
                      <w:highlight w:val="yellow"/>
                    </w:rPr>
                  </w:pPr>
                </w:p>
              </w:tc>
              <w:tc>
                <w:tcPr>
                  <w:tcW w:w="709" w:type="dxa"/>
                </w:tcPr>
                <w:p w14:paraId="6D54E0C5" w14:textId="77777777" w:rsidR="00B2657C" w:rsidRPr="00B2657C" w:rsidRDefault="00B2657C" w:rsidP="00B2657C">
                  <w:pPr>
                    <w:jc w:val="both"/>
                    <w:rPr>
                      <w:highlight w:val="yellow"/>
                    </w:rPr>
                  </w:pPr>
                </w:p>
              </w:tc>
              <w:tc>
                <w:tcPr>
                  <w:tcW w:w="5420" w:type="dxa"/>
                </w:tcPr>
                <w:p w14:paraId="6C3FCC24" w14:textId="77777777" w:rsidR="00B2657C" w:rsidRPr="00B2657C" w:rsidRDefault="00B2657C" w:rsidP="00B2657C">
                  <w:pPr>
                    <w:jc w:val="both"/>
                    <w:rPr>
                      <w:highlight w:val="yellow"/>
                    </w:rPr>
                  </w:pPr>
                </w:p>
              </w:tc>
            </w:tr>
            <w:tr w:rsidR="00B2657C" w:rsidRPr="00B2657C" w14:paraId="62228795" w14:textId="77777777" w:rsidTr="000E66CE">
              <w:tc>
                <w:tcPr>
                  <w:tcW w:w="3133" w:type="dxa"/>
                </w:tcPr>
                <w:p w14:paraId="7743BB3A" w14:textId="77777777" w:rsidR="00B2657C" w:rsidRPr="00B2657C" w:rsidRDefault="00B2657C" w:rsidP="00B2657C">
                  <w:pPr>
                    <w:jc w:val="both"/>
                    <w:rPr>
                      <w:highlight w:val="yellow"/>
                    </w:rPr>
                  </w:pPr>
                  <w:r w:rsidRPr="00B2657C">
                    <w:rPr>
                      <w:bCs/>
                    </w:rPr>
                    <w:t>Limited or biased participation of youth and stakeholders</w:t>
                  </w:r>
                </w:p>
              </w:tc>
              <w:tc>
                <w:tcPr>
                  <w:tcW w:w="992" w:type="dxa"/>
                  <w:vAlign w:val="center"/>
                </w:tcPr>
                <w:p w14:paraId="7C72A43E" w14:textId="77777777" w:rsidR="00B2657C" w:rsidRPr="00B2657C" w:rsidRDefault="00B2657C" w:rsidP="00B2657C">
                  <w:pPr>
                    <w:jc w:val="both"/>
                    <w:rPr>
                      <w:highlight w:val="yellow"/>
                    </w:rPr>
                  </w:pPr>
                  <w:r w:rsidRPr="00B2657C">
                    <w:rPr>
                      <w:bCs/>
                    </w:rPr>
                    <w:t>Medium</w:t>
                  </w:r>
                </w:p>
              </w:tc>
              <w:tc>
                <w:tcPr>
                  <w:tcW w:w="709" w:type="dxa"/>
                  <w:vAlign w:val="center"/>
                </w:tcPr>
                <w:p w14:paraId="5513C83F" w14:textId="77777777" w:rsidR="00B2657C" w:rsidRPr="00B2657C" w:rsidRDefault="00B2657C" w:rsidP="00B2657C">
                  <w:pPr>
                    <w:jc w:val="both"/>
                    <w:rPr>
                      <w:highlight w:val="yellow"/>
                    </w:rPr>
                  </w:pPr>
                  <w:r w:rsidRPr="00B2657C">
                    <w:rPr>
                      <w:bCs/>
                    </w:rPr>
                    <w:t>High</w:t>
                  </w:r>
                </w:p>
              </w:tc>
              <w:tc>
                <w:tcPr>
                  <w:tcW w:w="5420" w:type="dxa"/>
                </w:tcPr>
                <w:p w14:paraId="72F5FE1D" w14:textId="77777777" w:rsidR="00B2657C" w:rsidRPr="00B2657C" w:rsidRDefault="00B2657C" w:rsidP="00B2657C">
                  <w:pPr>
                    <w:jc w:val="both"/>
                    <w:rPr>
                      <w:highlight w:val="yellow"/>
                    </w:rPr>
                  </w:pPr>
                  <w:r w:rsidRPr="00B2657C">
                    <w:rPr>
                      <w:bCs/>
                    </w:rPr>
                    <w:t>Targeted stakeholder recruitment; collaboration with youth organisations; inclusive and hybrid engagement formats; attention to diversity across age, gender, socio-economic background, and cultural context.</w:t>
                  </w:r>
                </w:p>
              </w:tc>
            </w:tr>
            <w:tr w:rsidR="00B2657C" w:rsidRPr="00B2657C" w14:paraId="2205D3C3" w14:textId="77777777" w:rsidTr="000E66CE">
              <w:tc>
                <w:tcPr>
                  <w:tcW w:w="3133" w:type="dxa"/>
                </w:tcPr>
                <w:p w14:paraId="61B8524B" w14:textId="77777777" w:rsidR="00B2657C" w:rsidRPr="00B2657C" w:rsidRDefault="00B2657C" w:rsidP="00B2657C">
                  <w:pPr>
                    <w:jc w:val="both"/>
                    <w:rPr>
                      <w:highlight w:val="yellow"/>
                    </w:rPr>
                  </w:pPr>
                  <w:r w:rsidRPr="00B2657C">
                    <w:rPr>
                      <w:bCs/>
                    </w:rPr>
                    <w:t>Weak integration of foresight outputs with modelling and policy tasks</w:t>
                  </w:r>
                </w:p>
              </w:tc>
              <w:tc>
                <w:tcPr>
                  <w:tcW w:w="992" w:type="dxa"/>
                  <w:vAlign w:val="center"/>
                </w:tcPr>
                <w:p w14:paraId="7739E80D" w14:textId="77777777" w:rsidR="00B2657C" w:rsidRPr="00B2657C" w:rsidRDefault="00B2657C" w:rsidP="00B2657C">
                  <w:pPr>
                    <w:jc w:val="both"/>
                    <w:rPr>
                      <w:highlight w:val="yellow"/>
                    </w:rPr>
                  </w:pPr>
                  <w:r w:rsidRPr="00B2657C">
                    <w:rPr>
                      <w:bCs/>
                    </w:rPr>
                    <w:t>Medium</w:t>
                  </w:r>
                </w:p>
              </w:tc>
              <w:tc>
                <w:tcPr>
                  <w:tcW w:w="709" w:type="dxa"/>
                  <w:vAlign w:val="center"/>
                </w:tcPr>
                <w:p w14:paraId="03882EA4" w14:textId="77777777" w:rsidR="00B2657C" w:rsidRPr="00B2657C" w:rsidRDefault="00B2657C" w:rsidP="00B2657C">
                  <w:pPr>
                    <w:jc w:val="both"/>
                    <w:rPr>
                      <w:highlight w:val="yellow"/>
                    </w:rPr>
                  </w:pPr>
                  <w:r w:rsidRPr="00B2657C">
                    <w:rPr>
                      <w:bCs/>
                    </w:rPr>
                    <w:t>High</w:t>
                  </w:r>
                </w:p>
              </w:tc>
              <w:tc>
                <w:tcPr>
                  <w:tcW w:w="5420" w:type="dxa"/>
                </w:tcPr>
                <w:p w14:paraId="1A71FD0E" w14:textId="77777777" w:rsidR="00B2657C" w:rsidRPr="00B2657C" w:rsidRDefault="00B2657C" w:rsidP="00B2657C">
                  <w:pPr>
                    <w:jc w:val="both"/>
                    <w:rPr>
                      <w:highlight w:val="yellow"/>
                    </w:rPr>
                  </w:pPr>
                  <w:r w:rsidRPr="00B2657C">
                    <w:rPr>
                      <w:bCs/>
                    </w:rPr>
                    <w:t>Early alignment with modelling team; joint workshops; iterative feedback loops; co-development of policy-relevant indicators</w:t>
                  </w:r>
                </w:p>
              </w:tc>
            </w:tr>
            <w:tr w:rsidR="00B2657C" w:rsidRPr="00B2657C" w14:paraId="7ED61E9C" w14:textId="77777777" w:rsidTr="000E66CE">
              <w:tc>
                <w:tcPr>
                  <w:tcW w:w="3133" w:type="dxa"/>
                </w:tcPr>
                <w:p w14:paraId="549992DD" w14:textId="77777777" w:rsidR="00B2657C" w:rsidRPr="00B2657C" w:rsidRDefault="00B2657C" w:rsidP="00B2657C">
                  <w:pPr>
                    <w:jc w:val="both"/>
                    <w:rPr>
                      <w:highlight w:val="yellow"/>
                    </w:rPr>
                  </w:pPr>
                </w:p>
              </w:tc>
              <w:tc>
                <w:tcPr>
                  <w:tcW w:w="992" w:type="dxa"/>
                </w:tcPr>
                <w:p w14:paraId="22A41CE0" w14:textId="77777777" w:rsidR="00B2657C" w:rsidRPr="00B2657C" w:rsidRDefault="00B2657C" w:rsidP="00B2657C">
                  <w:pPr>
                    <w:jc w:val="both"/>
                    <w:rPr>
                      <w:highlight w:val="yellow"/>
                    </w:rPr>
                  </w:pPr>
                </w:p>
              </w:tc>
              <w:tc>
                <w:tcPr>
                  <w:tcW w:w="709" w:type="dxa"/>
                </w:tcPr>
                <w:p w14:paraId="0CF48922" w14:textId="77777777" w:rsidR="00B2657C" w:rsidRPr="00B2657C" w:rsidRDefault="00B2657C" w:rsidP="00B2657C">
                  <w:pPr>
                    <w:jc w:val="both"/>
                    <w:rPr>
                      <w:highlight w:val="yellow"/>
                    </w:rPr>
                  </w:pPr>
                </w:p>
              </w:tc>
              <w:tc>
                <w:tcPr>
                  <w:tcW w:w="5420" w:type="dxa"/>
                </w:tcPr>
                <w:p w14:paraId="1C3D82F8" w14:textId="77777777" w:rsidR="00B2657C" w:rsidRPr="00B2657C" w:rsidRDefault="00B2657C" w:rsidP="00B2657C">
                  <w:pPr>
                    <w:jc w:val="both"/>
                    <w:rPr>
                      <w:highlight w:val="yellow"/>
                    </w:rPr>
                  </w:pPr>
                </w:p>
              </w:tc>
            </w:tr>
          </w:tbl>
          <w:p w14:paraId="382C54EA" w14:textId="77777777" w:rsidR="00B2657C" w:rsidRPr="00B2657C" w:rsidRDefault="00B2657C" w:rsidP="00B2657C">
            <w:pPr>
              <w:jc w:val="both"/>
              <w:rPr>
                <w:sz w:val="12"/>
                <w:szCs w:val="12"/>
              </w:rPr>
            </w:pPr>
          </w:p>
        </w:tc>
      </w:tr>
    </w:tbl>
    <w:p w14:paraId="75B3A3F6" w14:textId="08C14C8B" w:rsidR="0715BCBE" w:rsidRDefault="0715BCBE" w:rsidP="0715BCBE">
      <w:pPr>
        <w:jc w:val="both"/>
      </w:pPr>
      <w:r w:rsidRPr="0715BCBE">
        <w:rPr>
          <w:b/>
          <w:bCs/>
        </w:rPr>
        <w:t xml:space="preserve"> </w:t>
      </w:r>
    </w:p>
    <w:p w14:paraId="2B2E08DF" w14:textId="77777777" w:rsidR="003D5218" w:rsidRDefault="003D5218" w:rsidP="0715BCBE">
      <w:pPr>
        <w:rPr>
          <w:b/>
          <w:bCs/>
        </w:rPr>
        <w:sectPr w:rsidR="003D5218" w:rsidSect="009B1831">
          <w:pgSz w:w="11906" w:h="16838" w:code="9"/>
          <w:pgMar w:top="1276" w:right="851" w:bottom="851" w:left="851" w:header="426" w:footer="1003" w:gutter="0"/>
          <w:cols w:space="720"/>
          <w:docGrid w:linePitch="299"/>
        </w:sectPr>
      </w:pPr>
    </w:p>
    <w:tbl>
      <w:tblPr>
        <w:tblW w:w="0" w:type="auto"/>
        <w:tblLook w:val="06A0" w:firstRow="1" w:lastRow="0" w:firstColumn="1" w:lastColumn="0" w:noHBand="1" w:noVBand="1"/>
      </w:tblPr>
      <w:tblGrid>
        <w:gridCol w:w="3512"/>
        <w:gridCol w:w="6672"/>
      </w:tblGrid>
      <w:tr w:rsidR="0715BCBE" w14:paraId="6A87D2DB" w14:textId="77777777" w:rsidTr="00B2657C">
        <w:trPr>
          <w:trHeight w:val="300"/>
        </w:trPr>
        <w:tc>
          <w:tcPr>
            <w:tcW w:w="351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54CE1DD" w14:textId="7466BB85" w:rsidR="0715BCBE" w:rsidRDefault="0715BCBE" w:rsidP="0715BCBE">
            <w:r w:rsidRPr="0715BCBE">
              <w:rPr>
                <w:b/>
                <w:bCs/>
              </w:rPr>
              <w:lastRenderedPageBreak/>
              <w:t xml:space="preserve">Work package number </w:t>
            </w:r>
          </w:p>
        </w:tc>
        <w:tc>
          <w:tcPr>
            <w:tcW w:w="6672" w:type="dxa"/>
            <w:tcBorders>
              <w:top w:val="single" w:sz="8" w:space="0" w:color="auto"/>
              <w:left w:val="single" w:sz="8" w:space="0" w:color="auto"/>
              <w:bottom w:val="single" w:sz="8" w:space="0" w:color="auto"/>
              <w:right w:val="single" w:sz="8" w:space="0" w:color="auto"/>
            </w:tcBorders>
            <w:tcMar>
              <w:left w:w="108" w:type="dxa"/>
              <w:right w:w="108" w:type="dxa"/>
            </w:tcMar>
          </w:tcPr>
          <w:p w14:paraId="57331171" w14:textId="2B13E0C4" w:rsidR="0715BCBE" w:rsidRDefault="0715BCBE" w:rsidP="0715BCBE">
            <w:r w:rsidRPr="0715BCBE">
              <w:t>9</w:t>
            </w:r>
          </w:p>
        </w:tc>
      </w:tr>
      <w:tr w:rsidR="0715BCBE" w14:paraId="01C2585E" w14:textId="77777777" w:rsidTr="00B2657C">
        <w:trPr>
          <w:trHeight w:val="300"/>
        </w:trPr>
        <w:tc>
          <w:tcPr>
            <w:tcW w:w="351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6E0D97" w14:textId="7ECB9E69" w:rsidR="0715BCBE" w:rsidRDefault="0715BCBE" w:rsidP="0715BCBE">
            <w:r w:rsidRPr="0715BCBE">
              <w:rPr>
                <w:b/>
                <w:bCs/>
              </w:rPr>
              <w:t>Work package title</w:t>
            </w:r>
          </w:p>
        </w:tc>
        <w:tc>
          <w:tcPr>
            <w:tcW w:w="6672" w:type="dxa"/>
            <w:tcBorders>
              <w:top w:val="single" w:sz="8" w:space="0" w:color="auto"/>
              <w:left w:val="single" w:sz="8" w:space="0" w:color="auto"/>
              <w:bottom w:val="single" w:sz="8" w:space="0" w:color="auto"/>
              <w:right w:val="single" w:sz="8" w:space="0" w:color="auto"/>
            </w:tcBorders>
            <w:tcMar>
              <w:left w:w="108" w:type="dxa"/>
              <w:right w:w="108" w:type="dxa"/>
            </w:tcMar>
          </w:tcPr>
          <w:p w14:paraId="502DBCA8" w14:textId="599CEBC8" w:rsidR="0715BCBE" w:rsidRDefault="0715BCBE" w:rsidP="0715BCBE">
            <w:r w:rsidRPr="0715BCBE">
              <w:t>Communication, Stakeholder engagement, dissemination and exploitation</w:t>
            </w:r>
          </w:p>
        </w:tc>
      </w:tr>
      <w:tr w:rsidR="0715BCBE" w14:paraId="382EAA5F" w14:textId="77777777" w:rsidTr="00B2657C">
        <w:trPr>
          <w:trHeight w:val="3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EB438C" w14:textId="6646F814" w:rsidR="0715BCBE" w:rsidRPr="00B2657C" w:rsidRDefault="0715BCBE" w:rsidP="0715BCBE">
            <w:pPr>
              <w:rPr>
                <w:b/>
                <w:bCs/>
              </w:rPr>
            </w:pPr>
            <w:r w:rsidRPr="0715BCBE">
              <w:rPr>
                <w:b/>
                <w:bCs/>
                <w:sz w:val="12"/>
                <w:szCs w:val="12"/>
              </w:rPr>
              <w:t xml:space="preserve"> </w:t>
            </w:r>
            <w:r w:rsidR="074D4958" w:rsidRPr="074D4958">
              <w:rPr>
                <w:b/>
                <w:bCs/>
              </w:rPr>
              <w:t xml:space="preserve">Objectives. </w:t>
            </w:r>
            <w:r w:rsidR="074D4958" w:rsidRPr="074D4958">
              <w:t>(1) to establish and implement the project’s plan for dissemination and exploitation including communication activities; (2) to ensure effective and targeted communication and dissemination of Z-Health activities, findings and outputs to relevant stakeholder groups; (3) to engage stakeholders and multiplier networks throughout the project so as to strengthen relevance, visibility, ownership and uptake of results; (4) translate evaluation findings, implementation experience, and modelling and foresight outputs into accessible and policy- and practice-relevant dissemination products; (5) to prepare pathways for exploitation, transferability and sustainability of key project results beyond the funded period.</w:t>
            </w:r>
          </w:p>
        </w:tc>
      </w:tr>
      <w:tr w:rsidR="0715BCBE" w14:paraId="3560432F"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D83E82" w14:textId="09C471D7" w:rsidR="0715BCBE" w:rsidRDefault="0715BCBE" w:rsidP="0715BCBE">
            <w:pPr>
              <w:jc w:val="both"/>
            </w:pPr>
            <w:r w:rsidRPr="0715BCBE">
              <w:rPr>
                <w:sz w:val="12"/>
                <w:szCs w:val="12"/>
              </w:rPr>
              <w:t xml:space="preserve"> </w:t>
            </w:r>
            <w:r w:rsidRPr="0715BCBE">
              <w:rPr>
                <w:b/>
                <w:bCs/>
              </w:rPr>
              <w:t>Description of work</w:t>
            </w:r>
          </w:p>
          <w:p w14:paraId="00EB81A0" w14:textId="58BA443E" w:rsidR="0715BCBE" w:rsidRDefault="074D4958" w:rsidP="51B73369">
            <w:proofErr w:type="gramStart"/>
            <w:r w:rsidRPr="074D4958">
              <w:rPr>
                <w:b/>
                <w:bCs/>
                <w:sz w:val="21"/>
                <w:szCs w:val="21"/>
              </w:rPr>
              <w:t xml:space="preserve">T9.1 </w:t>
            </w:r>
            <w:r w:rsidRPr="074D4958">
              <w:rPr>
                <w:sz w:val="21"/>
                <w:szCs w:val="21"/>
              </w:rPr>
              <w:t xml:space="preserve"> Dissemination</w:t>
            </w:r>
            <w:proofErr w:type="gramEnd"/>
            <w:r w:rsidRPr="074D4958">
              <w:rPr>
                <w:sz w:val="21"/>
                <w:szCs w:val="21"/>
              </w:rPr>
              <w:t>, exploitation and communication plan (DEC Plan)</w:t>
            </w:r>
            <w:r w:rsidRPr="074D4958">
              <w:rPr>
                <w:b/>
                <w:bCs/>
                <w:sz w:val="21"/>
                <w:szCs w:val="21"/>
              </w:rPr>
              <w:t xml:space="preserve"> (Lead: EHNet, Participants: </w:t>
            </w:r>
            <w:r w:rsidRPr="074D4958">
              <w:rPr>
                <w:sz w:val="21"/>
                <w:szCs w:val="21"/>
              </w:rPr>
              <w:t xml:space="preserve"> WP1 (ICL), WP7, WP8 LEADERS, WP6 implementation partners, digital/web support</w:t>
            </w:r>
            <w:r w:rsidRPr="074D4958">
              <w:rPr>
                <w:b/>
                <w:bCs/>
                <w:sz w:val="21"/>
                <w:szCs w:val="21"/>
              </w:rPr>
              <w:t>)</w:t>
            </w:r>
          </w:p>
          <w:p w14:paraId="45446C50" w14:textId="68802575" w:rsidR="0715BCBE" w:rsidRDefault="02B70495" w:rsidP="02B70495">
            <w:r w:rsidRPr="02B70495">
              <w:t xml:space="preserve">This task will develop the project’s plan for dissemination and exploitation including communication activities within the first 6 months of the project, and update it as needed during implementation. It will define target audiences, core messages, communication channels, dissemination formats, stakeholder groups, exploitation routes, responsibilities across the consortium, and indicators for monitoring outreach and uptake. The task will ensure alignment with the overall project governance under WP1 and close coherence with the evidence, implementation, evaluation and modelling work developed across the project. </w:t>
            </w:r>
          </w:p>
          <w:p w14:paraId="70FCA519" w14:textId="2F85DA09" w:rsidR="0715BCBE" w:rsidRDefault="0715BCBE" w:rsidP="0715BCBE">
            <w:r w:rsidRPr="0715BCBE">
              <w:t xml:space="preserve"> </w:t>
            </w:r>
          </w:p>
          <w:p w14:paraId="32C3D69B" w14:textId="299E40DF" w:rsidR="0715BCBE" w:rsidRDefault="074D4958" w:rsidP="05EA54D6">
            <w:r w:rsidRPr="074D4958">
              <w:rPr>
                <w:b/>
                <w:bCs/>
                <w:sz w:val="21"/>
                <w:szCs w:val="21"/>
              </w:rPr>
              <w:t xml:space="preserve">T9.2 </w:t>
            </w:r>
            <w:r w:rsidRPr="074D4958">
              <w:rPr>
                <w:sz w:val="21"/>
                <w:szCs w:val="21"/>
              </w:rPr>
              <w:t xml:space="preserve">Communication and project </w:t>
            </w:r>
            <w:proofErr w:type="gramStart"/>
            <w:r w:rsidRPr="074D4958">
              <w:rPr>
                <w:sz w:val="21"/>
                <w:szCs w:val="21"/>
              </w:rPr>
              <w:t xml:space="preserve">visibility </w:t>
            </w:r>
            <w:r w:rsidRPr="074D4958">
              <w:rPr>
                <w:b/>
                <w:bCs/>
                <w:sz w:val="21"/>
                <w:szCs w:val="21"/>
              </w:rPr>
              <w:t xml:space="preserve"> (</w:t>
            </w:r>
            <w:proofErr w:type="gramEnd"/>
            <w:r w:rsidRPr="074D4958">
              <w:rPr>
                <w:b/>
                <w:bCs/>
                <w:sz w:val="21"/>
                <w:szCs w:val="21"/>
              </w:rPr>
              <w:t xml:space="preserve">Lead: EHNet, Participants: </w:t>
            </w:r>
            <w:r w:rsidRPr="074D4958">
              <w:rPr>
                <w:sz w:val="21"/>
                <w:szCs w:val="21"/>
              </w:rPr>
              <w:t>WP1 (ICL) and WP3 LEADERS; WP6 implementation partners; ALL PARTNERS</w:t>
            </w:r>
            <w:r w:rsidRPr="074D4958">
              <w:rPr>
                <w:b/>
                <w:bCs/>
                <w:sz w:val="21"/>
                <w:szCs w:val="21"/>
              </w:rPr>
              <w:t>)</w:t>
            </w:r>
          </w:p>
          <w:p w14:paraId="0E367096" w14:textId="60F3DB53" w:rsidR="0715BCBE" w:rsidRDefault="05EA54D6" w:rsidP="05EA54D6">
            <w:r w:rsidRPr="05EA54D6">
              <w:t xml:space="preserve">This task will implement the project’s communication activities and support a clear, coherent and accessible external profile for Z-Health. It will cover core messaging, communication materials, website and digital channels, promotion of key milestones, and support to partners in outreach and visibility activities. Communication will be tailored to different audiences and calibrated to the project’s equity objectives, including attention to vulnerable, underserved and less-heard groups. Where relevant, communication approaches and messages will be informed through co-design and participatory mechanisms involving people with lived experience and relevant advisory bodies, including youth and community networks. In line with the project’s social and human sciences perspective, the task will promote communication that is inclusive, context-sensitive and responsive to the realities of different population groups. </w:t>
            </w:r>
          </w:p>
          <w:p w14:paraId="5DAA6B5E" w14:textId="0AB41D71" w:rsidR="05EA54D6" w:rsidRDefault="05EA54D6" w:rsidP="05EA54D6"/>
          <w:p w14:paraId="79F26A45" w14:textId="11F29BFC" w:rsidR="05EA54D6" w:rsidRDefault="074D4958" w:rsidP="05EA54D6">
            <w:r w:rsidRPr="074D4958">
              <w:t>T9.3 Stakeholder engagement and targeted dissemination (Lead: EHNet, Participants: WP6 implementation partners; WP1 (ICL), WP3, WP4, WP5, WP7 and WP8 LEADERS; stakeholder-facing partners)</w:t>
            </w:r>
          </w:p>
          <w:p w14:paraId="40DAC3C9" w14:textId="62C1D857" w:rsidR="05EA54D6" w:rsidRDefault="0B7058C9" w:rsidP="05EA54D6">
            <w:r w:rsidRPr="0B7058C9">
              <w:t xml:space="preserve">This task will engage relevant stakeholders and multiplier networks at European, national and local levels, and support the targeted dissemination of project findings and outputs to policy, practice, research and community audiences. It will include stakeholder mapping, tailored outreach, participatory and deliberative engagement approaches, and dissemination through partner networks. </w:t>
            </w:r>
            <w:proofErr w:type="gramStart"/>
            <w:r w:rsidRPr="0B7058C9">
              <w:t>Particular attention</w:t>
            </w:r>
            <w:proofErr w:type="gramEnd"/>
            <w:r w:rsidRPr="0B7058C9">
              <w:t xml:space="preserve"> will be paid to vulnerable, underserved and less-heard groups, including through the involvement of people with lived experience and, where relevant, youth and community advisory structures. In line with the project’s equity objectives and social and human sciences perspective, the task will help ensure that Z-Health outputs are communicated in ways that are inclusive, relevant and responsive to different contexts, and that strengthen ownership and uptake.</w:t>
            </w:r>
          </w:p>
          <w:p w14:paraId="3CE5EA2A" w14:textId="0BE49FF7" w:rsidR="0B7058C9" w:rsidRDefault="7401044D" w:rsidP="7401044D">
            <w:r w:rsidRPr="7401044D">
              <w:t>The task will also include preparation and delivery of a final project event to present and discuss key findings, implementation lessons and policy- and practice-relevant messages with relevant stakeholder audiences.</w:t>
            </w:r>
          </w:p>
          <w:p w14:paraId="13CA7C94" w14:textId="5D68F96E" w:rsidR="05EA54D6" w:rsidRDefault="05EA54D6" w:rsidP="05EA54D6"/>
          <w:p w14:paraId="6C70F869" w14:textId="58AEB88E" w:rsidR="05EA54D6" w:rsidRDefault="074D4958" w:rsidP="05EA54D6">
            <w:r w:rsidRPr="074D4958">
              <w:t>T9.4 Exploitation, uptake and sustainability of project results (Lead: EHNet, Partners: WP1 (ICL), WP4, WP5, WP7 and WP8 LEADERS; WP6 implementation partners; partners owning key tools or interventions)</w:t>
            </w:r>
          </w:p>
          <w:p w14:paraId="476072FD" w14:textId="138EB14C" w:rsidR="05EA54D6" w:rsidRDefault="0B7058C9" w:rsidP="05EA54D6">
            <w:r w:rsidRPr="0B7058C9">
              <w:t>This task will prepare the exploitation, uptake and sustainability of key Z-Health results beyond the project period. It will identify exploitable outputs, assess their transferability and scale-up potential, and develop pathways for their use in policy, practice, service and community settings. Building particularly on evaluation findings, implementation experience, and modelling and foresight outputs, the task will support exploitation approaches that are credible, context-sensitive and relevant to end users. In line with the project’s equity objectives, attention will be paid to fairer access, reach and benefit, including for vulnerable and less-heard groups. The task will culminate in a final exploitation and sustainability framework.</w:t>
            </w:r>
          </w:p>
          <w:p w14:paraId="67AABA7E" w14:textId="430F863D" w:rsidR="0B7058C9" w:rsidRDefault="0B7058C9" w:rsidP="0B7058C9">
            <w:r w:rsidRPr="0B7058C9">
              <w:t>In close link with T9.3, this task will contribute to the preparation of the final project event as a platform to showcase key results and to stimulate dialogue on their uptake, transferability, scale-up potential and sustainability beyond the project period.</w:t>
            </w:r>
          </w:p>
          <w:p w14:paraId="3806D1DC" w14:textId="473FE412" w:rsidR="0715BCBE" w:rsidRDefault="0715BCBE" w:rsidP="0715BCBE"/>
        </w:tc>
      </w:tr>
    </w:tbl>
    <w:p w14:paraId="425B5E59" w14:textId="11291B44" w:rsidR="0715BCBE" w:rsidRDefault="0715BCBE" w:rsidP="0715BCBE">
      <w:pPr>
        <w:jc w:val="both"/>
      </w:pPr>
    </w:p>
    <w:p w14:paraId="3A1E6586" w14:textId="13E73006" w:rsidR="002C039B" w:rsidRPr="00422790" w:rsidRDefault="002C039B" w:rsidP="004405A7">
      <w:pPr>
        <w:rPr>
          <w:b/>
          <w:bCs/>
        </w:rPr>
      </w:pPr>
    </w:p>
    <w:sectPr w:rsidR="002C039B" w:rsidRPr="00422790"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9204" w14:textId="77777777" w:rsidR="001A5A8D" w:rsidRDefault="001A5A8D">
      <w:r>
        <w:separator/>
      </w:r>
    </w:p>
  </w:endnote>
  <w:endnote w:type="continuationSeparator" w:id="0">
    <w:p w14:paraId="36BA652F" w14:textId="77777777" w:rsidR="001A5A8D" w:rsidRDefault="001A5A8D">
      <w:r>
        <w:continuationSeparator/>
      </w:r>
    </w:p>
  </w:endnote>
  <w:endnote w:type="continuationNotice" w:id="1">
    <w:p w14:paraId="52CA9F19" w14:textId="77777777" w:rsidR="001A5A8D" w:rsidRDefault="001A5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C Square Sans Pro Light">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20B0604020202020204"/>
    <w:charset w:val="00"/>
    <w:family w:val="swiss"/>
    <w:notTrueType/>
    <w:pitch w:val="default"/>
    <w:sig w:usb0="00000003" w:usb1="00000000" w:usb2="00000000" w:usb3="00000000" w:csb0="00000001" w:csb1="00000000"/>
  </w:font>
  <w:font w:name="Swiss">
    <w:panose1 w:val="020B0604020202020204"/>
    <w:charset w:val="00"/>
    <w:family w:val="auto"/>
    <w:notTrueType/>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EUAlbertina">
    <w:altName w:val="Cambria"/>
    <w:panose1 w:val="020B06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1D1" w14:textId="77777777" w:rsidR="00861191" w:rsidRDefault="00041B9B" w:rsidP="0088665B">
    <w:pPr>
      <w:tabs>
        <w:tab w:val="center" w:pos="5387"/>
        <w:tab w:val="left" w:pos="7938"/>
        <w:tab w:val="right" w:pos="10632"/>
      </w:tabs>
      <w:spacing w:before="120"/>
      <w:ind w:left="23" w:right="130"/>
      <w:rPr>
        <w:rFonts w:ascii="Arial" w:hAnsi="Arial"/>
        <w:color w:val="231F20"/>
        <w:sz w:val="17"/>
      </w:rPr>
    </w:pPr>
    <w:r>
      <w:rPr>
        <w:noProof/>
      </w:rPr>
      <mc:AlternateContent>
        <mc:Choice Requires="wps">
          <w:drawing>
            <wp:inline distT="0" distB="0" distL="0" distR="0" wp14:anchorId="582ABCB0" wp14:editId="33306408">
              <wp:extent cx="6616700" cy="267335"/>
              <wp:effectExtent l="0" t="0" r="0" b="0"/>
              <wp:docPr id="13749530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B8642BD" w14:textId="77777777" w:rsidR="00861191" w:rsidRDefault="00861191" w:rsidP="007F4B5B">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F85C76">
                            <w:rPr>
                              <w:rFonts w:ascii="Arial"/>
                              <w:noProof/>
                              <w:color w:val="231F20"/>
                              <w:sz w:val="17"/>
                            </w:rPr>
                            <w:t>1</w:t>
                          </w:r>
                          <w:r w:rsidRPr="00534176">
                            <w:rPr>
                              <w:rFonts w:ascii="Arial"/>
                              <w:color w:val="231F20"/>
                              <w:sz w:val="17"/>
                            </w:rPr>
                            <w:fldChar w:fldCharType="end"/>
                          </w:r>
                          <w:r w:rsidRPr="00534176">
                            <w:rPr>
                              <w:rFonts w:ascii="Arial"/>
                              <w:color w:val="231F20"/>
                              <w:sz w:val="17"/>
                            </w:rPr>
                            <w:t xml:space="preserve"> of </w:t>
                          </w:r>
                          <w:r w:rsidR="0000668D">
                            <w:rPr>
                              <w:rFonts w:ascii="Arial"/>
                              <w:color w:val="231F20"/>
                              <w:sz w:val="17"/>
                            </w:rPr>
                            <w:t>50</w:t>
                          </w:r>
                        </w:p>
                      </w:txbxContent>
                    </wps:txbx>
                    <wps:bodyPr rot="0" vert="horz" wrap="square" lIns="91440" tIns="45720" rIns="91440" bIns="45720" anchor="t" anchorCtr="0" upright="1">
                      <a:noAutofit/>
                    </wps:bodyPr>
                  </wps:wsp>
                </a:graphicData>
              </a:graphic>
            </wp:inline>
          </w:drawing>
        </mc:Choice>
        <mc:Fallback>
          <w:pict>
            <v:rect w14:anchorId="582ABCB0" id="Rectangle 132"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" fillcolor="#d8d8d8">
              <v:path arrowok="t"/>
              <v:textbox>
                <w:txbxContent>
                  <w:p w14:paraId="7B8642BD" w14:textId="77777777" w:rsidR="00861191" w:rsidRDefault="00861191" w:rsidP="007F4B5B">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F85C76">
                      <w:rPr>
                        <w:rFonts w:ascii="Arial"/>
                        <w:noProof/>
                        <w:color w:val="231F20"/>
                        <w:sz w:val="17"/>
                      </w:rPr>
                      <w:t>1</w:t>
                    </w:r>
                    <w:r w:rsidRPr="00534176">
                      <w:rPr>
                        <w:rFonts w:ascii="Arial"/>
                        <w:color w:val="231F20"/>
                        <w:sz w:val="17"/>
                      </w:rPr>
                      <w:fldChar w:fldCharType="end"/>
                    </w:r>
                    <w:r w:rsidRPr="00534176">
                      <w:rPr>
                        <w:rFonts w:ascii="Arial"/>
                        <w:color w:val="231F20"/>
                        <w:sz w:val="17"/>
                      </w:rPr>
                      <w:t xml:space="preserve"> of </w:t>
                    </w:r>
                    <w:r w:rsidR="0000668D">
                      <w:rPr>
                        <w:rFonts w:ascii="Arial"/>
                        <w:color w:val="231F20"/>
                        <w:sz w:val="17"/>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822D" w14:textId="77777777" w:rsidR="001A5A8D" w:rsidRDefault="001A5A8D">
      <w:r>
        <w:separator/>
      </w:r>
    </w:p>
  </w:footnote>
  <w:footnote w:type="continuationSeparator" w:id="0">
    <w:p w14:paraId="429BF1D7" w14:textId="77777777" w:rsidR="001A5A8D" w:rsidRDefault="001A5A8D">
      <w:r>
        <w:continuationSeparator/>
      </w:r>
    </w:p>
  </w:footnote>
  <w:footnote w:type="continuationNotice" w:id="1">
    <w:p w14:paraId="648DDCF3" w14:textId="77777777" w:rsidR="001A5A8D" w:rsidRDefault="001A5A8D"/>
  </w:footnote>
  <w:footnote w:id="2">
    <w:p w14:paraId="46995DD4" w14:textId="77777777" w:rsidR="00875E6C" w:rsidRPr="00C170AC" w:rsidRDefault="00875E6C" w:rsidP="00875E6C">
      <w:pPr>
        <w:pStyle w:val="FootnoteText"/>
      </w:pPr>
      <w:r>
        <w:rPr>
          <w:rStyle w:val="FootnoteReference"/>
        </w:rPr>
        <w:footnoteRef/>
      </w:r>
      <w:r>
        <w:t xml:space="preserve"> </w:t>
      </w:r>
      <w:r w:rsidRPr="00C170AC">
        <w:t xml:space="preserve">Flodgren, G., Helleve, A., </w:t>
      </w:r>
      <w:proofErr w:type="spellStart"/>
      <w:r w:rsidRPr="00C170AC">
        <w:t>Selstø</w:t>
      </w:r>
      <w:proofErr w:type="spellEnd"/>
      <w:r w:rsidRPr="00C170AC">
        <w:t xml:space="preserve">, A., </w:t>
      </w:r>
      <w:proofErr w:type="spellStart"/>
      <w:r w:rsidRPr="00C170AC">
        <w:t>Fismen</w:t>
      </w:r>
      <w:proofErr w:type="spellEnd"/>
      <w:r w:rsidRPr="00C170AC">
        <w:t>, A. S., Blanchard, L., Rutter, H., &amp; Klepp, K. I. (2025). Youth involvement in policy processes in public health, education, and social work—A scoping review. Obesity Reviews, 26(4), e13874.</w:t>
      </w:r>
    </w:p>
  </w:footnote>
  <w:footnote w:id="3">
    <w:p w14:paraId="04B16875" w14:textId="77777777" w:rsidR="00875E6C" w:rsidRPr="00CC6BCD" w:rsidRDefault="00875E6C" w:rsidP="00875E6C">
      <w:pPr>
        <w:pStyle w:val="FootnoteText"/>
      </w:pPr>
      <w:r>
        <w:rPr>
          <w:rStyle w:val="FootnoteReference"/>
        </w:rPr>
        <w:footnoteRef/>
      </w:r>
      <w:r>
        <w:t xml:space="preserve"> </w:t>
      </w:r>
      <w:r w:rsidRPr="00CC6BCD">
        <w:t>Bröder, J., Okan, O., Bauer, U. et al. Health literacy in childhood and youth: a systematic review of definitions and models. BMC Public Health 17, 361 (2017). https://doi.org/10.1186/s12889-017-4267-y</w:t>
      </w:r>
    </w:p>
  </w:footnote>
  <w:footnote w:id="4">
    <w:p w14:paraId="7086DB77" w14:textId="77777777" w:rsidR="00B2657C" w:rsidRPr="004D71A2" w:rsidRDefault="00B2657C" w:rsidP="00B2657C">
      <w:pPr>
        <w:pStyle w:val="FootnoteText"/>
        <w:rPr>
          <w:lang w:val="sl-SI"/>
        </w:rPr>
      </w:pPr>
      <w:r>
        <w:rPr>
          <w:rStyle w:val="FootnoteReference"/>
        </w:rPr>
        <w:footnoteRef/>
      </w:r>
      <w:r>
        <w:t xml:space="preserve"> </w:t>
      </w:r>
      <w:hyperlink r:id="rId1" w:history="1">
        <w:r w:rsidRPr="00A30472">
          <w:rPr>
            <w:rStyle w:val="Hyperlink"/>
          </w:rPr>
          <w:t>https://cdn.who.int/media/docs/default-source/reproductive-health/contraception-family-planning/stakeholder-mapping-tool.pdf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6C1D" w14:textId="4CE4BFEA" w:rsidR="008B5D86" w:rsidRPr="00064C9B" w:rsidRDefault="00064C9B" w:rsidP="008B5D86">
    <w:pPr>
      <w:tabs>
        <w:tab w:val="center" w:pos="4536"/>
        <w:tab w:val="right" w:pos="9072"/>
      </w:tabs>
      <w:rPr>
        <w:sz w:val="16"/>
        <w:szCs w:val="18"/>
      </w:rPr>
    </w:pPr>
    <w:r>
      <w:rPr>
        <w:sz w:val="16"/>
      </w:rPr>
      <w:t>Call</w:t>
    </w:r>
    <w:r w:rsidRPr="00322207">
      <w:rPr>
        <w:sz w:val="16"/>
      </w:rPr>
      <w:t xml:space="preserve">: </w:t>
    </w:r>
    <w:r w:rsidRPr="00AB3028">
      <w:rPr>
        <w:sz w:val="16"/>
      </w:rPr>
      <w:t>HORIZON-HLTH-2026-01-STAYHLTH-02</w:t>
    </w:r>
    <w:r w:rsidR="008B5D86" w:rsidRPr="00AB3028">
      <w:rPr>
        <w:sz w:val="16"/>
      </w:rPr>
      <w:t xml:space="preserve"> – </w:t>
    </w:r>
    <w:r w:rsidR="000A1366" w:rsidRPr="00AB3028">
      <w:rPr>
        <w:sz w:val="16"/>
        <w:highlight w:val="yellow"/>
      </w:rPr>
      <w:t>Z-HEALTH</w:t>
    </w:r>
  </w:p>
  <w:p w14:paraId="0C5E89B9" w14:textId="127EA898" w:rsidR="00064C9B" w:rsidRPr="00064C9B" w:rsidRDefault="00064C9B" w:rsidP="00064C9B">
    <w:pPr>
      <w:tabs>
        <w:tab w:val="center" w:pos="4536"/>
        <w:tab w:val="right" w:pos="9072"/>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3.1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4F852D4"/>
    <w:multiLevelType w:val="hybridMultilevel"/>
    <w:tmpl w:val="FFFFFFFF"/>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B1F56E"/>
    <w:multiLevelType w:val="hybridMultilevel"/>
    <w:tmpl w:val="FFFFFFFF"/>
    <w:lvl w:ilvl="0" w:tplc="A8A072D8">
      <w:start w:val="1"/>
      <w:numFmt w:val="bullet"/>
      <w:lvlText w:val=""/>
      <w:lvlJc w:val="left"/>
      <w:pPr>
        <w:ind w:left="360" w:hanging="360"/>
      </w:pPr>
      <w:rPr>
        <w:rFonts w:ascii="Wingdings" w:hAnsi="Wingdings" w:hint="default"/>
      </w:rPr>
    </w:lvl>
    <w:lvl w:ilvl="1" w:tplc="2C7A88CA">
      <w:start w:val="1"/>
      <w:numFmt w:val="bullet"/>
      <w:lvlText w:val="o"/>
      <w:lvlJc w:val="left"/>
      <w:pPr>
        <w:ind w:left="1080" w:hanging="360"/>
      </w:pPr>
      <w:rPr>
        <w:rFonts w:ascii="Courier New" w:hAnsi="Courier New" w:hint="default"/>
      </w:rPr>
    </w:lvl>
    <w:lvl w:ilvl="2" w:tplc="1A6C1288">
      <w:start w:val="1"/>
      <w:numFmt w:val="bullet"/>
      <w:lvlText w:val=""/>
      <w:lvlJc w:val="left"/>
      <w:pPr>
        <w:ind w:left="1800" w:hanging="360"/>
      </w:pPr>
      <w:rPr>
        <w:rFonts w:ascii="Wingdings" w:hAnsi="Wingdings" w:hint="default"/>
      </w:rPr>
    </w:lvl>
    <w:lvl w:ilvl="3" w:tplc="31667D2A">
      <w:start w:val="1"/>
      <w:numFmt w:val="bullet"/>
      <w:lvlText w:val=""/>
      <w:lvlJc w:val="left"/>
      <w:pPr>
        <w:ind w:left="2520" w:hanging="360"/>
      </w:pPr>
      <w:rPr>
        <w:rFonts w:ascii="Symbol" w:hAnsi="Symbol" w:hint="default"/>
      </w:rPr>
    </w:lvl>
    <w:lvl w:ilvl="4" w:tplc="20E65E54">
      <w:start w:val="1"/>
      <w:numFmt w:val="bullet"/>
      <w:lvlText w:val="o"/>
      <w:lvlJc w:val="left"/>
      <w:pPr>
        <w:ind w:left="3240" w:hanging="360"/>
      </w:pPr>
      <w:rPr>
        <w:rFonts w:ascii="Courier New" w:hAnsi="Courier New" w:hint="default"/>
      </w:rPr>
    </w:lvl>
    <w:lvl w:ilvl="5" w:tplc="2782214C">
      <w:start w:val="1"/>
      <w:numFmt w:val="bullet"/>
      <w:lvlText w:val=""/>
      <w:lvlJc w:val="left"/>
      <w:pPr>
        <w:ind w:left="3960" w:hanging="360"/>
      </w:pPr>
      <w:rPr>
        <w:rFonts w:ascii="Wingdings" w:hAnsi="Wingdings" w:hint="default"/>
      </w:rPr>
    </w:lvl>
    <w:lvl w:ilvl="6" w:tplc="B914CA7E">
      <w:start w:val="1"/>
      <w:numFmt w:val="bullet"/>
      <w:lvlText w:val=""/>
      <w:lvlJc w:val="left"/>
      <w:pPr>
        <w:ind w:left="4680" w:hanging="360"/>
      </w:pPr>
      <w:rPr>
        <w:rFonts w:ascii="Symbol" w:hAnsi="Symbol" w:hint="default"/>
      </w:rPr>
    </w:lvl>
    <w:lvl w:ilvl="7" w:tplc="C09A86BC">
      <w:start w:val="1"/>
      <w:numFmt w:val="bullet"/>
      <w:lvlText w:val="o"/>
      <w:lvlJc w:val="left"/>
      <w:pPr>
        <w:ind w:left="5400" w:hanging="360"/>
      </w:pPr>
      <w:rPr>
        <w:rFonts w:ascii="Courier New" w:hAnsi="Courier New" w:hint="default"/>
      </w:rPr>
    </w:lvl>
    <w:lvl w:ilvl="8" w:tplc="70165E34">
      <w:start w:val="1"/>
      <w:numFmt w:val="bullet"/>
      <w:lvlText w:val=""/>
      <w:lvlJc w:val="left"/>
      <w:pPr>
        <w:ind w:left="6120" w:hanging="360"/>
      </w:pPr>
      <w:rPr>
        <w:rFonts w:ascii="Wingdings" w:hAnsi="Wingdings" w:hint="default"/>
      </w:rPr>
    </w:lvl>
  </w:abstractNum>
  <w:abstractNum w:abstractNumId="3"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4" w15:restartNumberingAfterBreak="0">
    <w:nsid w:val="0F6B2AB7"/>
    <w:multiLevelType w:val="multilevel"/>
    <w:tmpl w:val="7C765628"/>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2063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720"/>
        </w:tabs>
        <w:ind w:left="720" w:hanging="360"/>
      </w:pPr>
      <w:rPr>
        <w:rFonts w:ascii="Symbol" w:hAnsi="Symbol" w:hint="default"/>
      </w:rPr>
    </w:lvl>
    <w:lvl w:ilvl="1" w:tplc="B0D09D5A">
      <w:numFmt w:val="bullet"/>
      <w:lvlText w:val="•"/>
      <w:lvlJc w:val="left"/>
      <w:pPr>
        <w:ind w:left="-698" w:hanging="690"/>
      </w:pPr>
      <w:rPr>
        <w:rFonts w:ascii="Calibri" w:eastAsia="Times New Roman" w:hAnsi="Calibri" w:hint="default"/>
      </w:rPr>
    </w:lvl>
    <w:lvl w:ilvl="2" w:tplc="ED4E8590">
      <w:start w:val="1"/>
      <w:numFmt w:val="bullet"/>
      <w:lvlText w:val=""/>
      <w:lvlJc w:val="left"/>
      <w:pPr>
        <w:tabs>
          <w:tab w:val="num" w:pos="-308"/>
        </w:tabs>
        <w:ind w:left="-308" w:hanging="360"/>
      </w:pPr>
      <w:rPr>
        <w:rFonts w:ascii="Symbol" w:hAnsi="Symbol" w:hint="default"/>
      </w:rPr>
    </w:lvl>
    <w:lvl w:ilvl="3" w:tplc="54B86E6C">
      <w:start w:val="1"/>
      <w:numFmt w:val="bullet"/>
      <w:lvlText w:val=""/>
      <w:lvlJc w:val="left"/>
      <w:pPr>
        <w:tabs>
          <w:tab w:val="num" w:pos="412"/>
        </w:tabs>
        <w:ind w:left="412" w:hanging="360"/>
      </w:pPr>
      <w:rPr>
        <w:rFonts w:ascii="Symbol" w:hAnsi="Symbol" w:hint="default"/>
      </w:rPr>
    </w:lvl>
    <w:lvl w:ilvl="4" w:tplc="B62C29CE">
      <w:start w:val="1"/>
      <w:numFmt w:val="bullet"/>
      <w:lvlText w:val=""/>
      <w:lvlJc w:val="left"/>
      <w:pPr>
        <w:tabs>
          <w:tab w:val="num" w:pos="1132"/>
        </w:tabs>
        <w:ind w:left="1132" w:hanging="360"/>
      </w:pPr>
      <w:rPr>
        <w:rFonts w:ascii="Symbol" w:hAnsi="Symbol" w:hint="default"/>
      </w:rPr>
    </w:lvl>
    <w:lvl w:ilvl="5" w:tplc="1304E190" w:tentative="1">
      <w:start w:val="1"/>
      <w:numFmt w:val="bullet"/>
      <w:lvlText w:val=""/>
      <w:lvlJc w:val="left"/>
      <w:pPr>
        <w:tabs>
          <w:tab w:val="num" w:pos="1852"/>
        </w:tabs>
        <w:ind w:left="1852" w:hanging="360"/>
      </w:pPr>
      <w:rPr>
        <w:rFonts w:ascii="Symbol" w:hAnsi="Symbol" w:hint="default"/>
      </w:rPr>
    </w:lvl>
    <w:lvl w:ilvl="6" w:tplc="E37E06BA" w:tentative="1">
      <w:start w:val="1"/>
      <w:numFmt w:val="bullet"/>
      <w:lvlText w:val=""/>
      <w:lvlJc w:val="left"/>
      <w:pPr>
        <w:tabs>
          <w:tab w:val="num" w:pos="2572"/>
        </w:tabs>
        <w:ind w:left="2572" w:hanging="360"/>
      </w:pPr>
      <w:rPr>
        <w:rFonts w:ascii="Symbol" w:hAnsi="Symbol" w:hint="default"/>
      </w:rPr>
    </w:lvl>
    <w:lvl w:ilvl="7" w:tplc="4A483FDE" w:tentative="1">
      <w:start w:val="1"/>
      <w:numFmt w:val="bullet"/>
      <w:lvlText w:val=""/>
      <w:lvlJc w:val="left"/>
      <w:pPr>
        <w:tabs>
          <w:tab w:val="num" w:pos="3292"/>
        </w:tabs>
        <w:ind w:left="3292" w:hanging="360"/>
      </w:pPr>
      <w:rPr>
        <w:rFonts w:ascii="Symbol" w:hAnsi="Symbol" w:hint="default"/>
      </w:rPr>
    </w:lvl>
    <w:lvl w:ilvl="8" w:tplc="AF724042" w:tentative="1">
      <w:start w:val="1"/>
      <w:numFmt w:val="bullet"/>
      <w:lvlText w:val=""/>
      <w:lvlJc w:val="left"/>
      <w:pPr>
        <w:tabs>
          <w:tab w:val="num" w:pos="4012"/>
        </w:tabs>
        <w:ind w:left="4012" w:hanging="360"/>
      </w:pPr>
      <w:rPr>
        <w:rFonts w:ascii="Symbol" w:hAnsi="Symbol" w:hint="default"/>
      </w:rPr>
    </w:lvl>
  </w:abstractNum>
  <w:abstractNum w:abstractNumId="7"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07399"/>
    <w:multiLevelType w:val="hybridMultilevel"/>
    <w:tmpl w:val="FFFFFFFF"/>
    <w:lvl w:ilvl="0" w:tplc="7F4C159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11" w15:restartNumberingAfterBreak="0">
    <w:nsid w:val="3FF72143"/>
    <w:multiLevelType w:val="multilevel"/>
    <w:tmpl w:val="8CB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218D9"/>
    <w:multiLevelType w:val="hybridMultilevel"/>
    <w:tmpl w:val="FFFFFFFF"/>
    <w:lvl w:ilvl="0" w:tplc="E70E8E88">
      <w:start w:val="1"/>
      <w:numFmt w:val="bullet"/>
      <w:lvlText w:val=""/>
      <w:lvlJc w:val="left"/>
      <w:pPr>
        <w:ind w:left="360" w:hanging="360"/>
      </w:pPr>
      <w:rPr>
        <w:rFonts w:ascii="Wingdings" w:hAnsi="Wingdings" w:hint="default"/>
      </w:rPr>
    </w:lvl>
    <w:lvl w:ilvl="1" w:tplc="6AB4F5D8">
      <w:start w:val="1"/>
      <w:numFmt w:val="bullet"/>
      <w:lvlText w:val="o"/>
      <w:lvlJc w:val="left"/>
      <w:pPr>
        <w:ind w:left="1080" w:hanging="360"/>
      </w:pPr>
      <w:rPr>
        <w:rFonts w:ascii="Courier New" w:hAnsi="Courier New" w:hint="default"/>
      </w:rPr>
    </w:lvl>
    <w:lvl w:ilvl="2" w:tplc="FD6EF4B2">
      <w:start w:val="1"/>
      <w:numFmt w:val="bullet"/>
      <w:lvlText w:val=""/>
      <w:lvlJc w:val="left"/>
      <w:pPr>
        <w:ind w:left="1800" w:hanging="360"/>
      </w:pPr>
      <w:rPr>
        <w:rFonts w:ascii="Wingdings" w:hAnsi="Wingdings" w:hint="default"/>
      </w:rPr>
    </w:lvl>
    <w:lvl w:ilvl="3" w:tplc="D0CC99AE">
      <w:start w:val="1"/>
      <w:numFmt w:val="bullet"/>
      <w:lvlText w:val=""/>
      <w:lvlJc w:val="left"/>
      <w:pPr>
        <w:ind w:left="2520" w:hanging="360"/>
      </w:pPr>
      <w:rPr>
        <w:rFonts w:ascii="Symbol" w:hAnsi="Symbol" w:hint="default"/>
      </w:rPr>
    </w:lvl>
    <w:lvl w:ilvl="4" w:tplc="468CD2EA">
      <w:start w:val="1"/>
      <w:numFmt w:val="bullet"/>
      <w:lvlText w:val="o"/>
      <w:lvlJc w:val="left"/>
      <w:pPr>
        <w:ind w:left="3240" w:hanging="360"/>
      </w:pPr>
      <w:rPr>
        <w:rFonts w:ascii="Courier New" w:hAnsi="Courier New" w:hint="default"/>
      </w:rPr>
    </w:lvl>
    <w:lvl w:ilvl="5" w:tplc="E4B0F904">
      <w:start w:val="1"/>
      <w:numFmt w:val="bullet"/>
      <w:lvlText w:val=""/>
      <w:lvlJc w:val="left"/>
      <w:pPr>
        <w:ind w:left="3960" w:hanging="360"/>
      </w:pPr>
      <w:rPr>
        <w:rFonts w:ascii="Wingdings" w:hAnsi="Wingdings" w:hint="default"/>
      </w:rPr>
    </w:lvl>
    <w:lvl w:ilvl="6" w:tplc="AA16C1D0">
      <w:start w:val="1"/>
      <w:numFmt w:val="bullet"/>
      <w:lvlText w:val=""/>
      <w:lvlJc w:val="left"/>
      <w:pPr>
        <w:ind w:left="4680" w:hanging="360"/>
      </w:pPr>
      <w:rPr>
        <w:rFonts w:ascii="Symbol" w:hAnsi="Symbol" w:hint="default"/>
      </w:rPr>
    </w:lvl>
    <w:lvl w:ilvl="7" w:tplc="CB5E51E2">
      <w:start w:val="1"/>
      <w:numFmt w:val="bullet"/>
      <w:lvlText w:val="o"/>
      <w:lvlJc w:val="left"/>
      <w:pPr>
        <w:ind w:left="5400" w:hanging="360"/>
      </w:pPr>
      <w:rPr>
        <w:rFonts w:ascii="Courier New" w:hAnsi="Courier New" w:hint="default"/>
      </w:rPr>
    </w:lvl>
    <w:lvl w:ilvl="8" w:tplc="AD74DC28">
      <w:start w:val="1"/>
      <w:numFmt w:val="bullet"/>
      <w:lvlText w:val=""/>
      <w:lvlJc w:val="left"/>
      <w:pPr>
        <w:ind w:left="6120" w:hanging="360"/>
      </w:pPr>
      <w:rPr>
        <w:rFonts w:ascii="Wingdings" w:hAnsi="Wingdings" w:hint="default"/>
      </w:rPr>
    </w:lvl>
  </w:abstractNum>
  <w:abstractNum w:abstractNumId="13"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4"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5" w15:restartNumberingAfterBreak="0">
    <w:nsid w:val="58D8190D"/>
    <w:multiLevelType w:val="hybridMultilevel"/>
    <w:tmpl w:val="728CE03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2F63C47"/>
    <w:multiLevelType w:val="hybridMultilevel"/>
    <w:tmpl w:val="FFFFFFFF"/>
    <w:lvl w:ilvl="0" w:tplc="D700D58A">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8" w15:restartNumberingAfterBreak="0">
    <w:nsid w:val="64B96020"/>
    <w:multiLevelType w:val="multilevel"/>
    <w:tmpl w:val="D00840C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19" w15:restartNumberingAfterBreak="0">
    <w:nsid w:val="6F1B3070"/>
    <w:multiLevelType w:val="hybridMultilevel"/>
    <w:tmpl w:val="F60E28FA"/>
    <w:lvl w:ilvl="0" w:tplc="496C2DF4">
      <w:start w:val="1"/>
      <w:numFmt w:val="bullet"/>
      <w:lvlText w:val=""/>
      <w:lvlJc w:val="left"/>
      <w:pPr>
        <w:ind w:left="1080" w:hanging="360"/>
      </w:pPr>
      <w:rPr>
        <w:rFonts w:ascii="Symbol" w:hAnsi="Symbol"/>
      </w:rPr>
    </w:lvl>
    <w:lvl w:ilvl="1" w:tplc="7298AB2C">
      <w:start w:val="1"/>
      <w:numFmt w:val="bullet"/>
      <w:lvlText w:val=""/>
      <w:lvlJc w:val="left"/>
      <w:pPr>
        <w:ind w:left="1080" w:hanging="360"/>
      </w:pPr>
      <w:rPr>
        <w:rFonts w:ascii="Symbol" w:hAnsi="Symbol"/>
      </w:rPr>
    </w:lvl>
    <w:lvl w:ilvl="2" w:tplc="6C22CC76">
      <w:start w:val="1"/>
      <w:numFmt w:val="bullet"/>
      <w:lvlText w:val=""/>
      <w:lvlJc w:val="left"/>
      <w:pPr>
        <w:ind w:left="1080" w:hanging="360"/>
      </w:pPr>
      <w:rPr>
        <w:rFonts w:ascii="Symbol" w:hAnsi="Symbol"/>
      </w:rPr>
    </w:lvl>
    <w:lvl w:ilvl="3" w:tplc="736ED74E">
      <w:start w:val="1"/>
      <w:numFmt w:val="bullet"/>
      <w:lvlText w:val=""/>
      <w:lvlJc w:val="left"/>
      <w:pPr>
        <w:ind w:left="1080" w:hanging="360"/>
      </w:pPr>
      <w:rPr>
        <w:rFonts w:ascii="Symbol" w:hAnsi="Symbol"/>
      </w:rPr>
    </w:lvl>
    <w:lvl w:ilvl="4" w:tplc="5C603F54">
      <w:start w:val="1"/>
      <w:numFmt w:val="bullet"/>
      <w:lvlText w:val=""/>
      <w:lvlJc w:val="left"/>
      <w:pPr>
        <w:ind w:left="1080" w:hanging="360"/>
      </w:pPr>
      <w:rPr>
        <w:rFonts w:ascii="Symbol" w:hAnsi="Symbol"/>
      </w:rPr>
    </w:lvl>
    <w:lvl w:ilvl="5" w:tplc="E676DFE6">
      <w:start w:val="1"/>
      <w:numFmt w:val="bullet"/>
      <w:lvlText w:val=""/>
      <w:lvlJc w:val="left"/>
      <w:pPr>
        <w:ind w:left="1080" w:hanging="360"/>
      </w:pPr>
      <w:rPr>
        <w:rFonts w:ascii="Symbol" w:hAnsi="Symbol"/>
      </w:rPr>
    </w:lvl>
    <w:lvl w:ilvl="6" w:tplc="3AC2B6EC">
      <w:start w:val="1"/>
      <w:numFmt w:val="bullet"/>
      <w:lvlText w:val=""/>
      <w:lvlJc w:val="left"/>
      <w:pPr>
        <w:ind w:left="1080" w:hanging="360"/>
      </w:pPr>
      <w:rPr>
        <w:rFonts w:ascii="Symbol" w:hAnsi="Symbol"/>
      </w:rPr>
    </w:lvl>
    <w:lvl w:ilvl="7" w:tplc="F4502BC2">
      <w:start w:val="1"/>
      <w:numFmt w:val="bullet"/>
      <w:lvlText w:val=""/>
      <w:lvlJc w:val="left"/>
      <w:pPr>
        <w:ind w:left="1080" w:hanging="360"/>
      </w:pPr>
      <w:rPr>
        <w:rFonts w:ascii="Symbol" w:hAnsi="Symbol"/>
      </w:rPr>
    </w:lvl>
    <w:lvl w:ilvl="8" w:tplc="3B406E7E">
      <w:start w:val="1"/>
      <w:numFmt w:val="bullet"/>
      <w:lvlText w:val=""/>
      <w:lvlJc w:val="left"/>
      <w:pPr>
        <w:ind w:left="1080" w:hanging="360"/>
      </w:pPr>
      <w:rPr>
        <w:rFonts w:ascii="Symbol" w:hAnsi="Symbol"/>
      </w:rPr>
    </w:lvl>
  </w:abstractNum>
  <w:abstractNum w:abstractNumId="20"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FD3AD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532165"/>
    <w:multiLevelType w:val="multilevel"/>
    <w:tmpl w:val="D22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CAEE3"/>
    <w:multiLevelType w:val="hybridMultilevel"/>
    <w:tmpl w:val="FFFFFFFF"/>
    <w:lvl w:ilvl="0" w:tplc="72B2B1FA">
      <w:start w:val="1"/>
      <w:numFmt w:val="bullet"/>
      <w:lvlText w:val=""/>
      <w:lvlJc w:val="left"/>
      <w:pPr>
        <w:ind w:left="720" w:hanging="360"/>
      </w:pPr>
      <w:rPr>
        <w:rFonts w:ascii="Symbol" w:hAnsi="Symbol" w:hint="default"/>
      </w:rPr>
    </w:lvl>
    <w:lvl w:ilvl="1" w:tplc="40DCBA8E">
      <w:start w:val="1"/>
      <w:numFmt w:val="bullet"/>
      <w:lvlText w:val="o"/>
      <w:lvlJc w:val="left"/>
      <w:pPr>
        <w:ind w:left="1440" w:hanging="360"/>
      </w:pPr>
      <w:rPr>
        <w:rFonts w:ascii="Courier New" w:hAnsi="Courier New" w:hint="default"/>
      </w:rPr>
    </w:lvl>
    <w:lvl w:ilvl="2" w:tplc="944EE63A">
      <w:start w:val="1"/>
      <w:numFmt w:val="bullet"/>
      <w:lvlText w:val=""/>
      <w:lvlJc w:val="left"/>
      <w:pPr>
        <w:ind w:left="2160" w:hanging="360"/>
      </w:pPr>
      <w:rPr>
        <w:rFonts w:ascii="Wingdings" w:hAnsi="Wingdings" w:hint="default"/>
      </w:rPr>
    </w:lvl>
    <w:lvl w:ilvl="3" w:tplc="CB448FF8">
      <w:start w:val="1"/>
      <w:numFmt w:val="bullet"/>
      <w:lvlText w:val=""/>
      <w:lvlJc w:val="left"/>
      <w:pPr>
        <w:ind w:left="2880" w:hanging="360"/>
      </w:pPr>
      <w:rPr>
        <w:rFonts w:ascii="Symbol" w:hAnsi="Symbol" w:hint="default"/>
      </w:rPr>
    </w:lvl>
    <w:lvl w:ilvl="4" w:tplc="A9F840BE">
      <w:start w:val="1"/>
      <w:numFmt w:val="bullet"/>
      <w:lvlText w:val="o"/>
      <w:lvlJc w:val="left"/>
      <w:pPr>
        <w:ind w:left="3600" w:hanging="360"/>
      </w:pPr>
      <w:rPr>
        <w:rFonts w:ascii="Courier New" w:hAnsi="Courier New" w:hint="default"/>
      </w:rPr>
    </w:lvl>
    <w:lvl w:ilvl="5" w:tplc="08562078">
      <w:start w:val="1"/>
      <w:numFmt w:val="bullet"/>
      <w:lvlText w:val=""/>
      <w:lvlJc w:val="left"/>
      <w:pPr>
        <w:ind w:left="4320" w:hanging="360"/>
      </w:pPr>
      <w:rPr>
        <w:rFonts w:ascii="Wingdings" w:hAnsi="Wingdings" w:hint="default"/>
      </w:rPr>
    </w:lvl>
    <w:lvl w:ilvl="6" w:tplc="1E783F9E">
      <w:start w:val="1"/>
      <w:numFmt w:val="bullet"/>
      <w:lvlText w:val=""/>
      <w:lvlJc w:val="left"/>
      <w:pPr>
        <w:ind w:left="5040" w:hanging="360"/>
      </w:pPr>
      <w:rPr>
        <w:rFonts w:ascii="Symbol" w:hAnsi="Symbol" w:hint="default"/>
      </w:rPr>
    </w:lvl>
    <w:lvl w:ilvl="7" w:tplc="11F8CCCA">
      <w:start w:val="1"/>
      <w:numFmt w:val="bullet"/>
      <w:lvlText w:val="o"/>
      <w:lvlJc w:val="left"/>
      <w:pPr>
        <w:ind w:left="5760" w:hanging="360"/>
      </w:pPr>
      <w:rPr>
        <w:rFonts w:ascii="Courier New" w:hAnsi="Courier New" w:hint="default"/>
      </w:rPr>
    </w:lvl>
    <w:lvl w:ilvl="8" w:tplc="0624178E">
      <w:start w:val="1"/>
      <w:numFmt w:val="bullet"/>
      <w:lvlText w:val=""/>
      <w:lvlJc w:val="left"/>
      <w:pPr>
        <w:ind w:left="6480" w:hanging="360"/>
      </w:pPr>
      <w:rPr>
        <w:rFonts w:ascii="Wingdings" w:hAnsi="Wingdings" w:hint="default"/>
      </w:rPr>
    </w:lvl>
  </w:abstractNum>
  <w:abstractNum w:abstractNumId="25" w15:restartNumberingAfterBreak="0">
    <w:nsid w:val="7B7F17C1"/>
    <w:multiLevelType w:val="hybridMultilevel"/>
    <w:tmpl w:val="FFFFFFFF"/>
    <w:lvl w:ilvl="0" w:tplc="0C8A50FC">
      <w:start w:val="1"/>
      <w:numFmt w:val="bullet"/>
      <w:lvlText w:val=""/>
      <w:lvlPicBulletId w:val="0"/>
      <w:lvlJc w:val="left"/>
      <w:pPr>
        <w:tabs>
          <w:tab w:val="num" w:pos="720"/>
        </w:tabs>
        <w:ind w:left="720" w:hanging="360"/>
      </w:pPr>
      <w:rPr>
        <w:rFonts w:ascii="Symbol" w:hAnsi="Symbol" w:hint="default"/>
      </w:rPr>
    </w:lvl>
    <w:lvl w:ilvl="1" w:tplc="4244B1C0">
      <w:start w:val="1"/>
      <w:numFmt w:val="bullet"/>
      <w:lvlText w:val=""/>
      <w:lvlJc w:val="left"/>
      <w:pPr>
        <w:tabs>
          <w:tab w:val="num" w:pos="1440"/>
        </w:tabs>
        <w:ind w:left="1440" w:hanging="360"/>
      </w:pPr>
      <w:rPr>
        <w:rFonts w:ascii="Symbol" w:hAnsi="Symbol" w:hint="default"/>
      </w:rPr>
    </w:lvl>
    <w:lvl w:ilvl="2" w:tplc="B2A035F8" w:tentative="1">
      <w:start w:val="1"/>
      <w:numFmt w:val="bullet"/>
      <w:lvlText w:val=""/>
      <w:lvlJc w:val="left"/>
      <w:pPr>
        <w:tabs>
          <w:tab w:val="num" w:pos="2160"/>
        </w:tabs>
        <w:ind w:left="2160" w:hanging="360"/>
      </w:pPr>
      <w:rPr>
        <w:rFonts w:ascii="Symbol" w:hAnsi="Symbol" w:hint="default"/>
      </w:rPr>
    </w:lvl>
    <w:lvl w:ilvl="3" w:tplc="E8081CE4" w:tentative="1">
      <w:start w:val="1"/>
      <w:numFmt w:val="bullet"/>
      <w:lvlText w:val=""/>
      <w:lvlJc w:val="left"/>
      <w:pPr>
        <w:tabs>
          <w:tab w:val="num" w:pos="2880"/>
        </w:tabs>
        <w:ind w:left="2880" w:hanging="360"/>
      </w:pPr>
      <w:rPr>
        <w:rFonts w:ascii="Symbol" w:hAnsi="Symbol" w:hint="default"/>
      </w:rPr>
    </w:lvl>
    <w:lvl w:ilvl="4" w:tplc="D6AE6232" w:tentative="1">
      <w:start w:val="1"/>
      <w:numFmt w:val="bullet"/>
      <w:lvlText w:val=""/>
      <w:lvlJc w:val="left"/>
      <w:pPr>
        <w:tabs>
          <w:tab w:val="num" w:pos="3600"/>
        </w:tabs>
        <w:ind w:left="3600" w:hanging="360"/>
      </w:pPr>
      <w:rPr>
        <w:rFonts w:ascii="Symbol" w:hAnsi="Symbol" w:hint="default"/>
      </w:rPr>
    </w:lvl>
    <w:lvl w:ilvl="5" w:tplc="A838D902" w:tentative="1">
      <w:start w:val="1"/>
      <w:numFmt w:val="bullet"/>
      <w:lvlText w:val=""/>
      <w:lvlJc w:val="left"/>
      <w:pPr>
        <w:tabs>
          <w:tab w:val="num" w:pos="4320"/>
        </w:tabs>
        <w:ind w:left="4320" w:hanging="360"/>
      </w:pPr>
      <w:rPr>
        <w:rFonts w:ascii="Symbol" w:hAnsi="Symbol" w:hint="default"/>
      </w:rPr>
    </w:lvl>
    <w:lvl w:ilvl="6" w:tplc="E004950A" w:tentative="1">
      <w:start w:val="1"/>
      <w:numFmt w:val="bullet"/>
      <w:lvlText w:val=""/>
      <w:lvlJc w:val="left"/>
      <w:pPr>
        <w:tabs>
          <w:tab w:val="num" w:pos="5040"/>
        </w:tabs>
        <w:ind w:left="5040" w:hanging="360"/>
      </w:pPr>
      <w:rPr>
        <w:rFonts w:ascii="Symbol" w:hAnsi="Symbol" w:hint="default"/>
      </w:rPr>
    </w:lvl>
    <w:lvl w:ilvl="7" w:tplc="25BC18F6" w:tentative="1">
      <w:start w:val="1"/>
      <w:numFmt w:val="bullet"/>
      <w:lvlText w:val=""/>
      <w:lvlJc w:val="left"/>
      <w:pPr>
        <w:tabs>
          <w:tab w:val="num" w:pos="5760"/>
        </w:tabs>
        <w:ind w:left="5760" w:hanging="360"/>
      </w:pPr>
      <w:rPr>
        <w:rFonts w:ascii="Symbol" w:hAnsi="Symbol" w:hint="default"/>
      </w:rPr>
    </w:lvl>
    <w:lvl w:ilvl="8" w:tplc="1ABE430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B8B3EF2"/>
    <w:multiLevelType w:val="hybridMultilevel"/>
    <w:tmpl w:val="FFFFFFFF"/>
    <w:lvl w:ilvl="0" w:tplc="2D24075C">
      <w:start w:val="1"/>
      <w:numFmt w:val="bullet"/>
      <w:lvlText w:val=""/>
      <w:lvlJc w:val="left"/>
      <w:pPr>
        <w:ind w:left="720" w:hanging="360"/>
      </w:pPr>
      <w:rPr>
        <w:rFonts w:ascii="Symbol" w:hAnsi="Symbol" w:hint="default"/>
      </w:rPr>
    </w:lvl>
    <w:lvl w:ilvl="1" w:tplc="AE2C59CE">
      <w:start w:val="1"/>
      <w:numFmt w:val="bullet"/>
      <w:lvlText w:val="o"/>
      <w:lvlJc w:val="left"/>
      <w:pPr>
        <w:ind w:left="1440" w:hanging="360"/>
      </w:pPr>
      <w:rPr>
        <w:rFonts w:ascii="Courier New" w:hAnsi="Courier New" w:hint="default"/>
      </w:rPr>
    </w:lvl>
    <w:lvl w:ilvl="2" w:tplc="A1025664">
      <w:start w:val="1"/>
      <w:numFmt w:val="bullet"/>
      <w:lvlText w:val=""/>
      <w:lvlJc w:val="left"/>
      <w:pPr>
        <w:ind w:left="2160" w:hanging="360"/>
      </w:pPr>
      <w:rPr>
        <w:rFonts w:ascii="Wingdings" w:hAnsi="Wingdings" w:hint="default"/>
      </w:rPr>
    </w:lvl>
    <w:lvl w:ilvl="3" w:tplc="A058B68A">
      <w:start w:val="1"/>
      <w:numFmt w:val="bullet"/>
      <w:lvlText w:val=""/>
      <w:lvlJc w:val="left"/>
      <w:pPr>
        <w:ind w:left="2880" w:hanging="360"/>
      </w:pPr>
      <w:rPr>
        <w:rFonts w:ascii="Symbol" w:hAnsi="Symbol" w:hint="default"/>
      </w:rPr>
    </w:lvl>
    <w:lvl w:ilvl="4" w:tplc="619AE848">
      <w:start w:val="1"/>
      <w:numFmt w:val="bullet"/>
      <w:lvlText w:val="o"/>
      <w:lvlJc w:val="left"/>
      <w:pPr>
        <w:ind w:left="3600" w:hanging="360"/>
      </w:pPr>
      <w:rPr>
        <w:rFonts w:ascii="Courier New" w:hAnsi="Courier New" w:hint="default"/>
      </w:rPr>
    </w:lvl>
    <w:lvl w:ilvl="5" w:tplc="A45C0118">
      <w:start w:val="1"/>
      <w:numFmt w:val="bullet"/>
      <w:lvlText w:val=""/>
      <w:lvlJc w:val="left"/>
      <w:pPr>
        <w:ind w:left="4320" w:hanging="360"/>
      </w:pPr>
      <w:rPr>
        <w:rFonts w:ascii="Wingdings" w:hAnsi="Wingdings" w:hint="default"/>
      </w:rPr>
    </w:lvl>
    <w:lvl w:ilvl="6" w:tplc="36861208">
      <w:start w:val="1"/>
      <w:numFmt w:val="bullet"/>
      <w:lvlText w:val=""/>
      <w:lvlJc w:val="left"/>
      <w:pPr>
        <w:ind w:left="5040" w:hanging="360"/>
      </w:pPr>
      <w:rPr>
        <w:rFonts w:ascii="Symbol" w:hAnsi="Symbol" w:hint="default"/>
      </w:rPr>
    </w:lvl>
    <w:lvl w:ilvl="7" w:tplc="3B9AF412">
      <w:start w:val="1"/>
      <w:numFmt w:val="bullet"/>
      <w:lvlText w:val="o"/>
      <w:lvlJc w:val="left"/>
      <w:pPr>
        <w:ind w:left="5760" w:hanging="360"/>
      </w:pPr>
      <w:rPr>
        <w:rFonts w:ascii="Courier New" w:hAnsi="Courier New" w:hint="default"/>
      </w:rPr>
    </w:lvl>
    <w:lvl w:ilvl="8" w:tplc="EE60752A">
      <w:start w:val="1"/>
      <w:numFmt w:val="bullet"/>
      <w:lvlText w:val=""/>
      <w:lvlJc w:val="left"/>
      <w:pPr>
        <w:ind w:left="6480" w:hanging="360"/>
      </w:pPr>
      <w:rPr>
        <w:rFonts w:ascii="Wingdings" w:hAnsi="Wingdings" w:hint="default"/>
      </w:rPr>
    </w:lvl>
  </w:abstractNum>
  <w:num w:numId="1" w16cid:durableId="517430020">
    <w:abstractNumId w:val="26"/>
  </w:num>
  <w:num w:numId="2" w16cid:durableId="1321690362">
    <w:abstractNumId w:val="24"/>
  </w:num>
  <w:num w:numId="3" w16cid:durableId="1438057758">
    <w:abstractNumId w:val="12"/>
  </w:num>
  <w:num w:numId="4" w16cid:durableId="460150671">
    <w:abstractNumId w:val="2"/>
  </w:num>
  <w:num w:numId="5" w16cid:durableId="263539816">
    <w:abstractNumId w:val="10"/>
  </w:num>
  <w:num w:numId="6" w16cid:durableId="968320649">
    <w:abstractNumId w:val="21"/>
  </w:num>
  <w:num w:numId="7" w16cid:durableId="52629251">
    <w:abstractNumId w:val="5"/>
  </w:num>
  <w:num w:numId="8" w16cid:durableId="1514997691">
    <w:abstractNumId w:val="20"/>
  </w:num>
  <w:num w:numId="9" w16cid:durableId="1201475819">
    <w:abstractNumId w:val="6"/>
  </w:num>
  <w:num w:numId="10" w16cid:durableId="1589343435">
    <w:abstractNumId w:val="25"/>
  </w:num>
  <w:num w:numId="11" w16cid:durableId="1599672629">
    <w:abstractNumId w:val="0"/>
  </w:num>
  <w:num w:numId="12" w16cid:durableId="1203398147">
    <w:abstractNumId w:val="14"/>
  </w:num>
  <w:num w:numId="13" w16cid:durableId="1376809111">
    <w:abstractNumId w:val="3"/>
  </w:num>
  <w:num w:numId="14" w16cid:durableId="725448000">
    <w:abstractNumId w:val="16"/>
  </w:num>
  <w:num w:numId="15" w16cid:durableId="1594128817">
    <w:abstractNumId w:val="9"/>
  </w:num>
  <w:num w:numId="16" w16cid:durableId="1434859345">
    <w:abstractNumId w:val="13"/>
  </w:num>
  <w:num w:numId="17" w16cid:durableId="1170682630">
    <w:abstractNumId w:val="8"/>
  </w:num>
  <w:num w:numId="18" w16cid:durableId="903878256">
    <w:abstractNumId w:val="17"/>
  </w:num>
  <w:num w:numId="19" w16cid:durableId="738553848">
    <w:abstractNumId w:val="22"/>
  </w:num>
  <w:num w:numId="20" w16cid:durableId="852185773">
    <w:abstractNumId w:val="1"/>
  </w:num>
  <w:num w:numId="21" w16cid:durableId="1371494768">
    <w:abstractNumId w:val="18"/>
  </w:num>
  <w:num w:numId="22" w16cid:durableId="2105488437">
    <w:abstractNumId w:val="4"/>
  </w:num>
  <w:num w:numId="23" w16cid:durableId="142745514">
    <w:abstractNumId w:val="7"/>
  </w:num>
  <w:num w:numId="24" w16cid:durableId="889919337">
    <w:abstractNumId w:val="15"/>
  </w:num>
  <w:num w:numId="25" w16cid:durableId="1546259935">
    <w:abstractNumId w:val="11"/>
  </w:num>
  <w:num w:numId="26" w16cid:durableId="486476155">
    <w:abstractNumId w:val="19"/>
  </w:num>
  <w:num w:numId="27" w16cid:durableId="20364037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4F67"/>
    <w:rsid w:val="00005D8B"/>
    <w:rsid w:val="0000668D"/>
    <w:rsid w:val="0000760B"/>
    <w:rsid w:val="00007686"/>
    <w:rsid w:val="00007D01"/>
    <w:rsid w:val="00010539"/>
    <w:rsid w:val="00013A40"/>
    <w:rsid w:val="00015481"/>
    <w:rsid w:val="00016282"/>
    <w:rsid w:val="00017546"/>
    <w:rsid w:val="000176B3"/>
    <w:rsid w:val="00017CD7"/>
    <w:rsid w:val="00020193"/>
    <w:rsid w:val="00020311"/>
    <w:rsid w:val="00021EBA"/>
    <w:rsid w:val="00021F02"/>
    <w:rsid w:val="000226EC"/>
    <w:rsid w:val="00023C27"/>
    <w:rsid w:val="00025A50"/>
    <w:rsid w:val="00025FA5"/>
    <w:rsid w:val="00027C19"/>
    <w:rsid w:val="00027EA2"/>
    <w:rsid w:val="0003049C"/>
    <w:rsid w:val="00031435"/>
    <w:rsid w:val="00032BD7"/>
    <w:rsid w:val="00033896"/>
    <w:rsid w:val="0003559D"/>
    <w:rsid w:val="00040297"/>
    <w:rsid w:val="00041B9B"/>
    <w:rsid w:val="0004694D"/>
    <w:rsid w:val="00046E0B"/>
    <w:rsid w:val="00047869"/>
    <w:rsid w:val="0005009F"/>
    <w:rsid w:val="0005147E"/>
    <w:rsid w:val="000514B2"/>
    <w:rsid w:val="00053D02"/>
    <w:rsid w:val="00053F99"/>
    <w:rsid w:val="00057386"/>
    <w:rsid w:val="0006372F"/>
    <w:rsid w:val="00064C9B"/>
    <w:rsid w:val="00064D0E"/>
    <w:rsid w:val="000674E9"/>
    <w:rsid w:val="00070D6D"/>
    <w:rsid w:val="000716E9"/>
    <w:rsid w:val="00073A9B"/>
    <w:rsid w:val="0007572B"/>
    <w:rsid w:val="0007718E"/>
    <w:rsid w:val="000810FB"/>
    <w:rsid w:val="000826B5"/>
    <w:rsid w:val="000837C4"/>
    <w:rsid w:val="00083CCF"/>
    <w:rsid w:val="000846D1"/>
    <w:rsid w:val="0008484B"/>
    <w:rsid w:val="000848E9"/>
    <w:rsid w:val="00085FD4"/>
    <w:rsid w:val="00086F46"/>
    <w:rsid w:val="00087861"/>
    <w:rsid w:val="00087A13"/>
    <w:rsid w:val="00087CCC"/>
    <w:rsid w:val="00090977"/>
    <w:rsid w:val="00091B2D"/>
    <w:rsid w:val="000921C4"/>
    <w:rsid w:val="000934A7"/>
    <w:rsid w:val="000934F3"/>
    <w:rsid w:val="000948C8"/>
    <w:rsid w:val="000978BA"/>
    <w:rsid w:val="000A1035"/>
    <w:rsid w:val="000A1366"/>
    <w:rsid w:val="000A1D85"/>
    <w:rsid w:val="000A1F97"/>
    <w:rsid w:val="000A224E"/>
    <w:rsid w:val="000A2A8A"/>
    <w:rsid w:val="000A33C3"/>
    <w:rsid w:val="000A3704"/>
    <w:rsid w:val="000A6034"/>
    <w:rsid w:val="000A697F"/>
    <w:rsid w:val="000B0534"/>
    <w:rsid w:val="000B0DED"/>
    <w:rsid w:val="000B0EC8"/>
    <w:rsid w:val="000B177E"/>
    <w:rsid w:val="000B1BCC"/>
    <w:rsid w:val="000B3EF3"/>
    <w:rsid w:val="000B44B3"/>
    <w:rsid w:val="000B7316"/>
    <w:rsid w:val="000B79F2"/>
    <w:rsid w:val="000C205E"/>
    <w:rsid w:val="000C29B7"/>
    <w:rsid w:val="000C5AAE"/>
    <w:rsid w:val="000C5ABF"/>
    <w:rsid w:val="000C5F31"/>
    <w:rsid w:val="000C6F37"/>
    <w:rsid w:val="000D0907"/>
    <w:rsid w:val="000D1E96"/>
    <w:rsid w:val="000D20CB"/>
    <w:rsid w:val="000D3E96"/>
    <w:rsid w:val="000D4494"/>
    <w:rsid w:val="000D5C1A"/>
    <w:rsid w:val="000D69E2"/>
    <w:rsid w:val="000D765F"/>
    <w:rsid w:val="000E1A37"/>
    <w:rsid w:val="000E2713"/>
    <w:rsid w:val="000E2F6D"/>
    <w:rsid w:val="000E3F72"/>
    <w:rsid w:val="000E53AD"/>
    <w:rsid w:val="000E6203"/>
    <w:rsid w:val="000E66CE"/>
    <w:rsid w:val="000F2757"/>
    <w:rsid w:val="000F31AB"/>
    <w:rsid w:val="000F332E"/>
    <w:rsid w:val="000F46F8"/>
    <w:rsid w:val="000F51FC"/>
    <w:rsid w:val="000F7398"/>
    <w:rsid w:val="000F7B5F"/>
    <w:rsid w:val="000F7C57"/>
    <w:rsid w:val="000F7E5B"/>
    <w:rsid w:val="00101252"/>
    <w:rsid w:val="00101978"/>
    <w:rsid w:val="001027FF"/>
    <w:rsid w:val="0010358C"/>
    <w:rsid w:val="00105699"/>
    <w:rsid w:val="00110C6B"/>
    <w:rsid w:val="0011206D"/>
    <w:rsid w:val="0011289C"/>
    <w:rsid w:val="00112F1A"/>
    <w:rsid w:val="001150E8"/>
    <w:rsid w:val="00115A12"/>
    <w:rsid w:val="00115DFE"/>
    <w:rsid w:val="00116067"/>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01D"/>
    <w:rsid w:val="001533FC"/>
    <w:rsid w:val="00153649"/>
    <w:rsid w:val="001537AE"/>
    <w:rsid w:val="00153966"/>
    <w:rsid w:val="00153C91"/>
    <w:rsid w:val="00156FE1"/>
    <w:rsid w:val="0015776D"/>
    <w:rsid w:val="00157B56"/>
    <w:rsid w:val="001603B7"/>
    <w:rsid w:val="001606D6"/>
    <w:rsid w:val="00160813"/>
    <w:rsid w:val="0016257E"/>
    <w:rsid w:val="001630BE"/>
    <w:rsid w:val="00163F3B"/>
    <w:rsid w:val="00165840"/>
    <w:rsid w:val="00166D52"/>
    <w:rsid w:val="00167FAB"/>
    <w:rsid w:val="00171B3C"/>
    <w:rsid w:val="00171CF3"/>
    <w:rsid w:val="0017338E"/>
    <w:rsid w:val="00173DFF"/>
    <w:rsid w:val="00174AF7"/>
    <w:rsid w:val="00175D9C"/>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4641"/>
    <w:rsid w:val="001A5A8D"/>
    <w:rsid w:val="001A6698"/>
    <w:rsid w:val="001A66E6"/>
    <w:rsid w:val="001A7475"/>
    <w:rsid w:val="001A7C46"/>
    <w:rsid w:val="001B09E4"/>
    <w:rsid w:val="001B1009"/>
    <w:rsid w:val="001B1B71"/>
    <w:rsid w:val="001B1C85"/>
    <w:rsid w:val="001B27BF"/>
    <w:rsid w:val="001B456C"/>
    <w:rsid w:val="001B48BA"/>
    <w:rsid w:val="001B49C7"/>
    <w:rsid w:val="001B4C3E"/>
    <w:rsid w:val="001B544E"/>
    <w:rsid w:val="001B5EF7"/>
    <w:rsid w:val="001B627E"/>
    <w:rsid w:val="001B6529"/>
    <w:rsid w:val="001B7347"/>
    <w:rsid w:val="001B739E"/>
    <w:rsid w:val="001C13CA"/>
    <w:rsid w:val="001C17E0"/>
    <w:rsid w:val="001C1B21"/>
    <w:rsid w:val="001C4076"/>
    <w:rsid w:val="001C5D12"/>
    <w:rsid w:val="001C6080"/>
    <w:rsid w:val="001C6E6F"/>
    <w:rsid w:val="001C6F4B"/>
    <w:rsid w:val="001C70FC"/>
    <w:rsid w:val="001C7158"/>
    <w:rsid w:val="001D016C"/>
    <w:rsid w:val="001D0C32"/>
    <w:rsid w:val="001D11BF"/>
    <w:rsid w:val="001D2120"/>
    <w:rsid w:val="001D2DA1"/>
    <w:rsid w:val="001D4DF0"/>
    <w:rsid w:val="001D5748"/>
    <w:rsid w:val="001D6BF2"/>
    <w:rsid w:val="001D708B"/>
    <w:rsid w:val="001E0D01"/>
    <w:rsid w:val="001E181E"/>
    <w:rsid w:val="001E3876"/>
    <w:rsid w:val="001E4451"/>
    <w:rsid w:val="001E601F"/>
    <w:rsid w:val="001E69F7"/>
    <w:rsid w:val="001F229E"/>
    <w:rsid w:val="001F2584"/>
    <w:rsid w:val="001F2A55"/>
    <w:rsid w:val="001F2F00"/>
    <w:rsid w:val="001F36FE"/>
    <w:rsid w:val="001F3CDB"/>
    <w:rsid w:val="001F3D9C"/>
    <w:rsid w:val="001F443A"/>
    <w:rsid w:val="001F5C1D"/>
    <w:rsid w:val="001F64FB"/>
    <w:rsid w:val="001F68FB"/>
    <w:rsid w:val="001F78B6"/>
    <w:rsid w:val="001F7B80"/>
    <w:rsid w:val="0020080D"/>
    <w:rsid w:val="002024E7"/>
    <w:rsid w:val="00202678"/>
    <w:rsid w:val="00203320"/>
    <w:rsid w:val="00204E42"/>
    <w:rsid w:val="00204E91"/>
    <w:rsid w:val="00206C51"/>
    <w:rsid w:val="00207072"/>
    <w:rsid w:val="00210D19"/>
    <w:rsid w:val="00210E60"/>
    <w:rsid w:val="0021150F"/>
    <w:rsid w:val="00211D73"/>
    <w:rsid w:val="002124C8"/>
    <w:rsid w:val="002133E7"/>
    <w:rsid w:val="0021341A"/>
    <w:rsid w:val="002162BA"/>
    <w:rsid w:val="00216810"/>
    <w:rsid w:val="00217E68"/>
    <w:rsid w:val="00220997"/>
    <w:rsid w:val="00222DD8"/>
    <w:rsid w:val="00223C94"/>
    <w:rsid w:val="0022448A"/>
    <w:rsid w:val="00225ECB"/>
    <w:rsid w:val="0022625C"/>
    <w:rsid w:val="00226D9C"/>
    <w:rsid w:val="0022741A"/>
    <w:rsid w:val="00227430"/>
    <w:rsid w:val="00227B11"/>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5453"/>
    <w:rsid w:val="00256837"/>
    <w:rsid w:val="00257308"/>
    <w:rsid w:val="00257A8E"/>
    <w:rsid w:val="00262227"/>
    <w:rsid w:val="0026270A"/>
    <w:rsid w:val="0026321C"/>
    <w:rsid w:val="00263B3A"/>
    <w:rsid w:val="00263FDA"/>
    <w:rsid w:val="002641F5"/>
    <w:rsid w:val="00264345"/>
    <w:rsid w:val="00264D03"/>
    <w:rsid w:val="00265261"/>
    <w:rsid w:val="00266611"/>
    <w:rsid w:val="00267508"/>
    <w:rsid w:val="00270F87"/>
    <w:rsid w:val="00272780"/>
    <w:rsid w:val="00272903"/>
    <w:rsid w:val="00272C90"/>
    <w:rsid w:val="00272DF6"/>
    <w:rsid w:val="00273689"/>
    <w:rsid w:val="00273E44"/>
    <w:rsid w:val="00277BA6"/>
    <w:rsid w:val="00277F51"/>
    <w:rsid w:val="002801C0"/>
    <w:rsid w:val="00280F3A"/>
    <w:rsid w:val="00282029"/>
    <w:rsid w:val="00282196"/>
    <w:rsid w:val="002821AF"/>
    <w:rsid w:val="0028328B"/>
    <w:rsid w:val="002864DC"/>
    <w:rsid w:val="00286E2D"/>
    <w:rsid w:val="00286FF1"/>
    <w:rsid w:val="00287BA0"/>
    <w:rsid w:val="002901EC"/>
    <w:rsid w:val="002927C5"/>
    <w:rsid w:val="00293656"/>
    <w:rsid w:val="00293AD9"/>
    <w:rsid w:val="00295F74"/>
    <w:rsid w:val="0029610A"/>
    <w:rsid w:val="002977BD"/>
    <w:rsid w:val="002A0E2C"/>
    <w:rsid w:val="002A2180"/>
    <w:rsid w:val="002A2B89"/>
    <w:rsid w:val="002A3327"/>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5EE3"/>
    <w:rsid w:val="002B6B96"/>
    <w:rsid w:val="002B6F50"/>
    <w:rsid w:val="002B7037"/>
    <w:rsid w:val="002B7182"/>
    <w:rsid w:val="002C039B"/>
    <w:rsid w:val="002C0741"/>
    <w:rsid w:val="002C076B"/>
    <w:rsid w:val="002C1990"/>
    <w:rsid w:val="002C1CFF"/>
    <w:rsid w:val="002C28F2"/>
    <w:rsid w:val="002C3685"/>
    <w:rsid w:val="002C5301"/>
    <w:rsid w:val="002C56FA"/>
    <w:rsid w:val="002C5B05"/>
    <w:rsid w:val="002C62D6"/>
    <w:rsid w:val="002C6671"/>
    <w:rsid w:val="002C6C57"/>
    <w:rsid w:val="002D1094"/>
    <w:rsid w:val="002D13ED"/>
    <w:rsid w:val="002D16CE"/>
    <w:rsid w:val="002D537E"/>
    <w:rsid w:val="002D5560"/>
    <w:rsid w:val="002D5C40"/>
    <w:rsid w:val="002D63AF"/>
    <w:rsid w:val="002D70A9"/>
    <w:rsid w:val="002D7374"/>
    <w:rsid w:val="002D74CE"/>
    <w:rsid w:val="002E0A1E"/>
    <w:rsid w:val="002E1D5C"/>
    <w:rsid w:val="002E1EA1"/>
    <w:rsid w:val="002E2115"/>
    <w:rsid w:val="002E558D"/>
    <w:rsid w:val="002E568E"/>
    <w:rsid w:val="002E724C"/>
    <w:rsid w:val="002F040D"/>
    <w:rsid w:val="002F1278"/>
    <w:rsid w:val="002F242E"/>
    <w:rsid w:val="002F2E57"/>
    <w:rsid w:val="002F4939"/>
    <w:rsid w:val="002F49DC"/>
    <w:rsid w:val="002F6F33"/>
    <w:rsid w:val="002F7282"/>
    <w:rsid w:val="002F7C28"/>
    <w:rsid w:val="002F7E23"/>
    <w:rsid w:val="0030033E"/>
    <w:rsid w:val="00300415"/>
    <w:rsid w:val="00300884"/>
    <w:rsid w:val="00300A92"/>
    <w:rsid w:val="00301762"/>
    <w:rsid w:val="0030252A"/>
    <w:rsid w:val="003029D4"/>
    <w:rsid w:val="00304AFE"/>
    <w:rsid w:val="00306BBB"/>
    <w:rsid w:val="00307928"/>
    <w:rsid w:val="003108B1"/>
    <w:rsid w:val="00311528"/>
    <w:rsid w:val="00313CAD"/>
    <w:rsid w:val="003143B7"/>
    <w:rsid w:val="0031592C"/>
    <w:rsid w:val="00315BE5"/>
    <w:rsid w:val="00316655"/>
    <w:rsid w:val="00317037"/>
    <w:rsid w:val="00320CCC"/>
    <w:rsid w:val="003212E0"/>
    <w:rsid w:val="00322207"/>
    <w:rsid w:val="003224DA"/>
    <w:rsid w:val="003226E6"/>
    <w:rsid w:val="00322D2E"/>
    <w:rsid w:val="003231BB"/>
    <w:rsid w:val="00323310"/>
    <w:rsid w:val="003236D3"/>
    <w:rsid w:val="00324369"/>
    <w:rsid w:val="0032436E"/>
    <w:rsid w:val="00324C44"/>
    <w:rsid w:val="00324CDE"/>
    <w:rsid w:val="00325572"/>
    <w:rsid w:val="00327BC2"/>
    <w:rsid w:val="00330045"/>
    <w:rsid w:val="00332758"/>
    <w:rsid w:val="00334A2B"/>
    <w:rsid w:val="0033590E"/>
    <w:rsid w:val="00335A04"/>
    <w:rsid w:val="00336ECC"/>
    <w:rsid w:val="00337A1A"/>
    <w:rsid w:val="00337BF6"/>
    <w:rsid w:val="00340BC3"/>
    <w:rsid w:val="003424C6"/>
    <w:rsid w:val="0034261D"/>
    <w:rsid w:val="00342BB7"/>
    <w:rsid w:val="00342ED6"/>
    <w:rsid w:val="00344360"/>
    <w:rsid w:val="00344AD6"/>
    <w:rsid w:val="0034511C"/>
    <w:rsid w:val="003462BA"/>
    <w:rsid w:val="0035098F"/>
    <w:rsid w:val="003513FC"/>
    <w:rsid w:val="00352D1E"/>
    <w:rsid w:val="0035306A"/>
    <w:rsid w:val="00355AD0"/>
    <w:rsid w:val="00355BB0"/>
    <w:rsid w:val="00355C57"/>
    <w:rsid w:val="003566B9"/>
    <w:rsid w:val="00357662"/>
    <w:rsid w:val="00360147"/>
    <w:rsid w:val="00361819"/>
    <w:rsid w:val="00364D0C"/>
    <w:rsid w:val="003664C9"/>
    <w:rsid w:val="00367BD4"/>
    <w:rsid w:val="00370317"/>
    <w:rsid w:val="003708E3"/>
    <w:rsid w:val="00371570"/>
    <w:rsid w:val="00371E5D"/>
    <w:rsid w:val="00372847"/>
    <w:rsid w:val="003738B1"/>
    <w:rsid w:val="00373969"/>
    <w:rsid w:val="00374457"/>
    <w:rsid w:val="003762A2"/>
    <w:rsid w:val="0037724D"/>
    <w:rsid w:val="00380116"/>
    <w:rsid w:val="0038055E"/>
    <w:rsid w:val="003808E0"/>
    <w:rsid w:val="003811F4"/>
    <w:rsid w:val="003815E0"/>
    <w:rsid w:val="00381954"/>
    <w:rsid w:val="00382DE5"/>
    <w:rsid w:val="003833F2"/>
    <w:rsid w:val="00383D24"/>
    <w:rsid w:val="003842E1"/>
    <w:rsid w:val="003862BC"/>
    <w:rsid w:val="00386545"/>
    <w:rsid w:val="0038787D"/>
    <w:rsid w:val="00391DC0"/>
    <w:rsid w:val="00391EF4"/>
    <w:rsid w:val="00392B22"/>
    <w:rsid w:val="00392EF3"/>
    <w:rsid w:val="00393B76"/>
    <w:rsid w:val="00396DDD"/>
    <w:rsid w:val="003976BE"/>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2B3D"/>
    <w:rsid w:val="003B38C7"/>
    <w:rsid w:val="003B3F00"/>
    <w:rsid w:val="003B5290"/>
    <w:rsid w:val="003B677B"/>
    <w:rsid w:val="003B76DB"/>
    <w:rsid w:val="003C0C56"/>
    <w:rsid w:val="003C0E76"/>
    <w:rsid w:val="003C1344"/>
    <w:rsid w:val="003C1C3A"/>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505E"/>
    <w:rsid w:val="003D5218"/>
    <w:rsid w:val="003D7102"/>
    <w:rsid w:val="003E01DB"/>
    <w:rsid w:val="003E2626"/>
    <w:rsid w:val="003E3AF9"/>
    <w:rsid w:val="003E3D56"/>
    <w:rsid w:val="003E707E"/>
    <w:rsid w:val="003E7330"/>
    <w:rsid w:val="003F172D"/>
    <w:rsid w:val="003F1E11"/>
    <w:rsid w:val="003F3646"/>
    <w:rsid w:val="003F53CD"/>
    <w:rsid w:val="003F5888"/>
    <w:rsid w:val="003F5A18"/>
    <w:rsid w:val="003F5B21"/>
    <w:rsid w:val="003F5D0C"/>
    <w:rsid w:val="003F6E7B"/>
    <w:rsid w:val="003F7AC7"/>
    <w:rsid w:val="00400050"/>
    <w:rsid w:val="004002FF"/>
    <w:rsid w:val="004003B2"/>
    <w:rsid w:val="00400441"/>
    <w:rsid w:val="00401133"/>
    <w:rsid w:val="00401240"/>
    <w:rsid w:val="00403C7D"/>
    <w:rsid w:val="004045F3"/>
    <w:rsid w:val="00406F45"/>
    <w:rsid w:val="004077F1"/>
    <w:rsid w:val="00407CA5"/>
    <w:rsid w:val="00411A45"/>
    <w:rsid w:val="00411A9B"/>
    <w:rsid w:val="0041228F"/>
    <w:rsid w:val="0041341A"/>
    <w:rsid w:val="0041414E"/>
    <w:rsid w:val="00414737"/>
    <w:rsid w:val="004158F2"/>
    <w:rsid w:val="00416450"/>
    <w:rsid w:val="004168F1"/>
    <w:rsid w:val="00420047"/>
    <w:rsid w:val="0042074C"/>
    <w:rsid w:val="00421067"/>
    <w:rsid w:val="00421F9B"/>
    <w:rsid w:val="00422790"/>
    <w:rsid w:val="00423176"/>
    <w:rsid w:val="00423937"/>
    <w:rsid w:val="00425EAC"/>
    <w:rsid w:val="004266C1"/>
    <w:rsid w:val="00426D0C"/>
    <w:rsid w:val="004271DB"/>
    <w:rsid w:val="0043082A"/>
    <w:rsid w:val="00433058"/>
    <w:rsid w:val="00433146"/>
    <w:rsid w:val="00433BFD"/>
    <w:rsid w:val="0043591E"/>
    <w:rsid w:val="00435A34"/>
    <w:rsid w:val="00436346"/>
    <w:rsid w:val="00436C99"/>
    <w:rsid w:val="0043785F"/>
    <w:rsid w:val="00437BDD"/>
    <w:rsid w:val="004405A7"/>
    <w:rsid w:val="00443111"/>
    <w:rsid w:val="00444B6A"/>
    <w:rsid w:val="00446A36"/>
    <w:rsid w:val="004503AB"/>
    <w:rsid w:val="0045196A"/>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0168"/>
    <w:rsid w:val="004855D2"/>
    <w:rsid w:val="004859D1"/>
    <w:rsid w:val="004868D4"/>
    <w:rsid w:val="00486A3A"/>
    <w:rsid w:val="0048723F"/>
    <w:rsid w:val="004910A8"/>
    <w:rsid w:val="0049666A"/>
    <w:rsid w:val="004A09EA"/>
    <w:rsid w:val="004A20F9"/>
    <w:rsid w:val="004A22ED"/>
    <w:rsid w:val="004A3023"/>
    <w:rsid w:val="004A461B"/>
    <w:rsid w:val="004A7633"/>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667"/>
    <w:rsid w:val="004D0A04"/>
    <w:rsid w:val="004D149F"/>
    <w:rsid w:val="004D214A"/>
    <w:rsid w:val="004D25EE"/>
    <w:rsid w:val="004D28C0"/>
    <w:rsid w:val="004D2D11"/>
    <w:rsid w:val="004D365C"/>
    <w:rsid w:val="004D3C1A"/>
    <w:rsid w:val="004D5B4C"/>
    <w:rsid w:val="004D6478"/>
    <w:rsid w:val="004D68C9"/>
    <w:rsid w:val="004E061C"/>
    <w:rsid w:val="004E5C99"/>
    <w:rsid w:val="004E6A77"/>
    <w:rsid w:val="004E7DC1"/>
    <w:rsid w:val="004F06F7"/>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4929"/>
    <w:rsid w:val="00505206"/>
    <w:rsid w:val="00505E69"/>
    <w:rsid w:val="005061B8"/>
    <w:rsid w:val="00506A24"/>
    <w:rsid w:val="00506F4A"/>
    <w:rsid w:val="00507141"/>
    <w:rsid w:val="00510749"/>
    <w:rsid w:val="00510A22"/>
    <w:rsid w:val="00510FFF"/>
    <w:rsid w:val="005117AB"/>
    <w:rsid w:val="00511DEB"/>
    <w:rsid w:val="00513BF5"/>
    <w:rsid w:val="00516579"/>
    <w:rsid w:val="00517406"/>
    <w:rsid w:val="005201E7"/>
    <w:rsid w:val="0052055F"/>
    <w:rsid w:val="005214EE"/>
    <w:rsid w:val="00521DD3"/>
    <w:rsid w:val="005224C7"/>
    <w:rsid w:val="00522581"/>
    <w:rsid w:val="00522DEF"/>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70B5"/>
    <w:rsid w:val="00537707"/>
    <w:rsid w:val="005406E6"/>
    <w:rsid w:val="00543BDF"/>
    <w:rsid w:val="005444BD"/>
    <w:rsid w:val="005449F8"/>
    <w:rsid w:val="0054520E"/>
    <w:rsid w:val="005458E3"/>
    <w:rsid w:val="00545C90"/>
    <w:rsid w:val="00546103"/>
    <w:rsid w:val="00546949"/>
    <w:rsid w:val="00547450"/>
    <w:rsid w:val="0055311C"/>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0B0C"/>
    <w:rsid w:val="00571637"/>
    <w:rsid w:val="00574475"/>
    <w:rsid w:val="005751FD"/>
    <w:rsid w:val="00575A6C"/>
    <w:rsid w:val="00575C72"/>
    <w:rsid w:val="00575DFD"/>
    <w:rsid w:val="00580BA1"/>
    <w:rsid w:val="005814B5"/>
    <w:rsid w:val="00584642"/>
    <w:rsid w:val="00584E56"/>
    <w:rsid w:val="00585BDB"/>
    <w:rsid w:val="00587D06"/>
    <w:rsid w:val="00587DBE"/>
    <w:rsid w:val="00587DC9"/>
    <w:rsid w:val="005901D0"/>
    <w:rsid w:val="00593A1C"/>
    <w:rsid w:val="00593D96"/>
    <w:rsid w:val="00594297"/>
    <w:rsid w:val="00597273"/>
    <w:rsid w:val="005A0A03"/>
    <w:rsid w:val="005A0D6B"/>
    <w:rsid w:val="005A0F7C"/>
    <w:rsid w:val="005A1313"/>
    <w:rsid w:val="005A17C7"/>
    <w:rsid w:val="005A1FDC"/>
    <w:rsid w:val="005A623B"/>
    <w:rsid w:val="005A65D7"/>
    <w:rsid w:val="005B0C50"/>
    <w:rsid w:val="005B171E"/>
    <w:rsid w:val="005B1D0A"/>
    <w:rsid w:val="005B2EAE"/>
    <w:rsid w:val="005B4BBA"/>
    <w:rsid w:val="005B7023"/>
    <w:rsid w:val="005B7046"/>
    <w:rsid w:val="005C0EEC"/>
    <w:rsid w:val="005C11F5"/>
    <w:rsid w:val="005C1AB0"/>
    <w:rsid w:val="005C2940"/>
    <w:rsid w:val="005C2C0C"/>
    <w:rsid w:val="005C3011"/>
    <w:rsid w:val="005C530F"/>
    <w:rsid w:val="005C556B"/>
    <w:rsid w:val="005C6FB2"/>
    <w:rsid w:val="005D0891"/>
    <w:rsid w:val="005D18CC"/>
    <w:rsid w:val="005D4D72"/>
    <w:rsid w:val="005D561F"/>
    <w:rsid w:val="005D5BA4"/>
    <w:rsid w:val="005D65F6"/>
    <w:rsid w:val="005D691B"/>
    <w:rsid w:val="005D7265"/>
    <w:rsid w:val="005D7D29"/>
    <w:rsid w:val="005E173F"/>
    <w:rsid w:val="005E7AC6"/>
    <w:rsid w:val="005E7C7B"/>
    <w:rsid w:val="005E7D94"/>
    <w:rsid w:val="005F2133"/>
    <w:rsid w:val="005F36B8"/>
    <w:rsid w:val="005F3F68"/>
    <w:rsid w:val="0060038A"/>
    <w:rsid w:val="00600F24"/>
    <w:rsid w:val="0060115A"/>
    <w:rsid w:val="0060190C"/>
    <w:rsid w:val="00601D10"/>
    <w:rsid w:val="00604AA0"/>
    <w:rsid w:val="00605F79"/>
    <w:rsid w:val="006064D3"/>
    <w:rsid w:val="006075E9"/>
    <w:rsid w:val="00607BED"/>
    <w:rsid w:val="006113DB"/>
    <w:rsid w:val="0061196D"/>
    <w:rsid w:val="00612196"/>
    <w:rsid w:val="00612725"/>
    <w:rsid w:val="00613106"/>
    <w:rsid w:val="0062142C"/>
    <w:rsid w:val="00621D57"/>
    <w:rsid w:val="00623C56"/>
    <w:rsid w:val="00623C5C"/>
    <w:rsid w:val="006253F5"/>
    <w:rsid w:val="00627065"/>
    <w:rsid w:val="006270C8"/>
    <w:rsid w:val="006304FC"/>
    <w:rsid w:val="00630EDA"/>
    <w:rsid w:val="006311A9"/>
    <w:rsid w:val="00631312"/>
    <w:rsid w:val="0063152C"/>
    <w:rsid w:val="006318CE"/>
    <w:rsid w:val="00631937"/>
    <w:rsid w:val="00631B07"/>
    <w:rsid w:val="00631FCA"/>
    <w:rsid w:val="00633457"/>
    <w:rsid w:val="00633C9F"/>
    <w:rsid w:val="006344D9"/>
    <w:rsid w:val="00634AB9"/>
    <w:rsid w:val="00635690"/>
    <w:rsid w:val="006360D8"/>
    <w:rsid w:val="0063628D"/>
    <w:rsid w:val="006376CB"/>
    <w:rsid w:val="00640574"/>
    <w:rsid w:val="006415BE"/>
    <w:rsid w:val="006429B6"/>
    <w:rsid w:val="00643026"/>
    <w:rsid w:val="006434E4"/>
    <w:rsid w:val="0064394D"/>
    <w:rsid w:val="00643BCB"/>
    <w:rsid w:val="00643BD4"/>
    <w:rsid w:val="00644316"/>
    <w:rsid w:val="00644CC2"/>
    <w:rsid w:val="006478B8"/>
    <w:rsid w:val="00650727"/>
    <w:rsid w:val="00650887"/>
    <w:rsid w:val="00651473"/>
    <w:rsid w:val="00651DEF"/>
    <w:rsid w:val="00652565"/>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C1F"/>
    <w:rsid w:val="00687E4B"/>
    <w:rsid w:val="006910A6"/>
    <w:rsid w:val="006912C7"/>
    <w:rsid w:val="00692120"/>
    <w:rsid w:val="006942E6"/>
    <w:rsid w:val="0069569D"/>
    <w:rsid w:val="00696017"/>
    <w:rsid w:val="0069691B"/>
    <w:rsid w:val="00696936"/>
    <w:rsid w:val="00697F7E"/>
    <w:rsid w:val="006A0274"/>
    <w:rsid w:val="006A096B"/>
    <w:rsid w:val="006A09C5"/>
    <w:rsid w:val="006A0DD6"/>
    <w:rsid w:val="006A3A0D"/>
    <w:rsid w:val="006A4271"/>
    <w:rsid w:val="006A541B"/>
    <w:rsid w:val="006A604D"/>
    <w:rsid w:val="006A6387"/>
    <w:rsid w:val="006A6E89"/>
    <w:rsid w:val="006A709C"/>
    <w:rsid w:val="006A7D2A"/>
    <w:rsid w:val="006B1155"/>
    <w:rsid w:val="006B2BFB"/>
    <w:rsid w:val="006B3FC6"/>
    <w:rsid w:val="006B7078"/>
    <w:rsid w:val="006B7A03"/>
    <w:rsid w:val="006C04D3"/>
    <w:rsid w:val="006C1AC8"/>
    <w:rsid w:val="006C1E77"/>
    <w:rsid w:val="006C2B24"/>
    <w:rsid w:val="006C492F"/>
    <w:rsid w:val="006C7A6E"/>
    <w:rsid w:val="006C7AE5"/>
    <w:rsid w:val="006D0C24"/>
    <w:rsid w:val="006D3854"/>
    <w:rsid w:val="006D4A97"/>
    <w:rsid w:val="006D6429"/>
    <w:rsid w:val="006D668A"/>
    <w:rsid w:val="006D7338"/>
    <w:rsid w:val="006D7FCF"/>
    <w:rsid w:val="006E01B1"/>
    <w:rsid w:val="006E0428"/>
    <w:rsid w:val="006E1AD5"/>
    <w:rsid w:val="006E262F"/>
    <w:rsid w:val="006E2F52"/>
    <w:rsid w:val="006E6C4D"/>
    <w:rsid w:val="006E6F72"/>
    <w:rsid w:val="006F0D9F"/>
    <w:rsid w:val="006F104F"/>
    <w:rsid w:val="006F256C"/>
    <w:rsid w:val="006F36C9"/>
    <w:rsid w:val="006F3A1C"/>
    <w:rsid w:val="006F4922"/>
    <w:rsid w:val="006F5EE1"/>
    <w:rsid w:val="006F6B3A"/>
    <w:rsid w:val="00700463"/>
    <w:rsid w:val="00700D11"/>
    <w:rsid w:val="00703A78"/>
    <w:rsid w:val="007045DA"/>
    <w:rsid w:val="00705E5D"/>
    <w:rsid w:val="0071192A"/>
    <w:rsid w:val="00711AAF"/>
    <w:rsid w:val="00713587"/>
    <w:rsid w:val="00713AEE"/>
    <w:rsid w:val="00713E06"/>
    <w:rsid w:val="0071428D"/>
    <w:rsid w:val="00714503"/>
    <w:rsid w:val="0071454C"/>
    <w:rsid w:val="00714732"/>
    <w:rsid w:val="00714A9F"/>
    <w:rsid w:val="007152F0"/>
    <w:rsid w:val="00716FF9"/>
    <w:rsid w:val="007173FF"/>
    <w:rsid w:val="00725C1A"/>
    <w:rsid w:val="00727D21"/>
    <w:rsid w:val="007308B8"/>
    <w:rsid w:val="007332BD"/>
    <w:rsid w:val="0073332C"/>
    <w:rsid w:val="007338ED"/>
    <w:rsid w:val="00733C8E"/>
    <w:rsid w:val="007365A2"/>
    <w:rsid w:val="00736A66"/>
    <w:rsid w:val="00740D44"/>
    <w:rsid w:val="00741310"/>
    <w:rsid w:val="00742655"/>
    <w:rsid w:val="00743920"/>
    <w:rsid w:val="00750144"/>
    <w:rsid w:val="00752182"/>
    <w:rsid w:val="00754E92"/>
    <w:rsid w:val="00762772"/>
    <w:rsid w:val="007631B9"/>
    <w:rsid w:val="007637C9"/>
    <w:rsid w:val="00763E4D"/>
    <w:rsid w:val="007707B0"/>
    <w:rsid w:val="00770F8E"/>
    <w:rsid w:val="00772FF8"/>
    <w:rsid w:val="00773F7B"/>
    <w:rsid w:val="00774C6C"/>
    <w:rsid w:val="007778E1"/>
    <w:rsid w:val="00777C4F"/>
    <w:rsid w:val="00780A08"/>
    <w:rsid w:val="007811F7"/>
    <w:rsid w:val="007817F7"/>
    <w:rsid w:val="00781B75"/>
    <w:rsid w:val="00781F1D"/>
    <w:rsid w:val="007822E9"/>
    <w:rsid w:val="007835AE"/>
    <w:rsid w:val="00785FA2"/>
    <w:rsid w:val="00787C95"/>
    <w:rsid w:val="007900B9"/>
    <w:rsid w:val="00790279"/>
    <w:rsid w:val="007902F6"/>
    <w:rsid w:val="0079043F"/>
    <w:rsid w:val="00790A03"/>
    <w:rsid w:val="00790F13"/>
    <w:rsid w:val="00791F16"/>
    <w:rsid w:val="00792169"/>
    <w:rsid w:val="00792EC8"/>
    <w:rsid w:val="007962AB"/>
    <w:rsid w:val="00796903"/>
    <w:rsid w:val="00797040"/>
    <w:rsid w:val="007979C5"/>
    <w:rsid w:val="007A0639"/>
    <w:rsid w:val="007A2A5B"/>
    <w:rsid w:val="007A2E03"/>
    <w:rsid w:val="007A39BA"/>
    <w:rsid w:val="007A3D98"/>
    <w:rsid w:val="007A4238"/>
    <w:rsid w:val="007A7FE1"/>
    <w:rsid w:val="007B0966"/>
    <w:rsid w:val="007B20C7"/>
    <w:rsid w:val="007B2B25"/>
    <w:rsid w:val="007B3E85"/>
    <w:rsid w:val="007B4C93"/>
    <w:rsid w:val="007B4D7A"/>
    <w:rsid w:val="007B4F41"/>
    <w:rsid w:val="007B6026"/>
    <w:rsid w:val="007B6C18"/>
    <w:rsid w:val="007B7050"/>
    <w:rsid w:val="007C0819"/>
    <w:rsid w:val="007C2102"/>
    <w:rsid w:val="007C2FEA"/>
    <w:rsid w:val="007C31EF"/>
    <w:rsid w:val="007C4CD0"/>
    <w:rsid w:val="007C51A5"/>
    <w:rsid w:val="007C5D37"/>
    <w:rsid w:val="007C622A"/>
    <w:rsid w:val="007C629F"/>
    <w:rsid w:val="007C6512"/>
    <w:rsid w:val="007D0353"/>
    <w:rsid w:val="007D05B5"/>
    <w:rsid w:val="007D0C08"/>
    <w:rsid w:val="007D2A60"/>
    <w:rsid w:val="007D30F6"/>
    <w:rsid w:val="007D37B2"/>
    <w:rsid w:val="007D41EF"/>
    <w:rsid w:val="007D4EC5"/>
    <w:rsid w:val="007D59DE"/>
    <w:rsid w:val="007D5D38"/>
    <w:rsid w:val="007D6C47"/>
    <w:rsid w:val="007E1B67"/>
    <w:rsid w:val="007E2123"/>
    <w:rsid w:val="007E5EF4"/>
    <w:rsid w:val="007E6720"/>
    <w:rsid w:val="007E7DA2"/>
    <w:rsid w:val="007F01B7"/>
    <w:rsid w:val="007F14A2"/>
    <w:rsid w:val="007F204E"/>
    <w:rsid w:val="007F30CB"/>
    <w:rsid w:val="007F3D25"/>
    <w:rsid w:val="007F41A0"/>
    <w:rsid w:val="007F4345"/>
    <w:rsid w:val="007F4B5B"/>
    <w:rsid w:val="007F5FA4"/>
    <w:rsid w:val="007F6796"/>
    <w:rsid w:val="00800605"/>
    <w:rsid w:val="008011BD"/>
    <w:rsid w:val="0080124C"/>
    <w:rsid w:val="008019F0"/>
    <w:rsid w:val="00804312"/>
    <w:rsid w:val="00804B0D"/>
    <w:rsid w:val="00804FDC"/>
    <w:rsid w:val="00805226"/>
    <w:rsid w:val="00805E75"/>
    <w:rsid w:val="008102B8"/>
    <w:rsid w:val="00811C3E"/>
    <w:rsid w:val="008121FB"/>
    <w:rsid w:val="00812344"/>
    <w:rsid w:val="008137AB"/>
    <w:rsid w:val="00815246"/>
    <w:rsid w:val="00820854"/>
    <w:rsid w:val="008220C5"/>
    <w:rsid w:val="0082289D"/>
    <w:rsid w:val="00825B23"/>
    <w:rsid w:val="00825D13"/>
    <w:rsid w:val="008273B1"/>
    <w:rsid w:val="00831B7F"/>
    <w:rsid w:val="00832A16"/>
    <w:rsid w:val="00832DC7"/>
    <w:rsid w:val="00832FA4"/>
    <w:rsid w:val="0083310A"/>
    <w:rsid w:val="0083369D"/>
    <w:rsid w:val="008337A4"/>
    <w:rsid w:val="00835C7A"/>
    <w:rsid w:val="008367E6"/>
    <w:rsid w:val="00836C1F"/>
    <w:rsid w:val="0083755A"/>
    <w:rsid w:val="0083787F"/>
    <w:rsid w:val="008403D9"/>
    <w:rsid w:val="00841762"/>
    <w:rsid w:val="008417EA"/>
    <w:rsid w:val="00843F06"/>
    <w:rsid w:val="008504F7"/>
    <w:rsid w:val="00850746"/>
    <w:rsid w:val="00850B9E"/>
    <w:rsid w:val="008512C3"/>
    <w:rsid w:val="00853C83"/>
    <w:rsid w:val="00854392"/>
    <w:rsid w:val="008546E8"/>
    <w:rsid w:val="008547C8"/>
    <w:rsid w:val="008550E9"/>
    <w:rsid w:val="008557C4"/>
    <w:rsid w:val="0085596D"/>
    <w:rsid w:val="008568C1"/>
    <w:rsid w:val="00861191"/>
    <w:rsid w:val="0086163B"/>
    <w:rsid w:val="00861860"/>
    <w:rsid w:val="008648F5"/>
    <w:rsid w:val="008700D2"/>
    <w:rsid w:val="0087019F"/>
    <w:rsid w:val="008704C5"/>
    <w:rsid w:val="00870506"/>
    <w:rsid w:val="00870A33"/>
    <w:rsid w:val="008730D0"/>
    <w:rsid w:val="0087329B"/>
    <w:rsid w:val="00873D45"/>
    <w:rsid w:val="008758D8"/>
    <w:rsid w:val="00875C70"/>
    <w:rsid w:val="00875E6C"/>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4FF"/>
    <w:rsid w:val="00896D60"/>
    <w:rsid w:val="008972C3"/>
    <w:rsid w:val="00897A32"/>
    <w:rsid w:val="008A0243"/>
    <w:rsid w:val="008A06F7"/>
    <w:rsid w:val="008A1F70"/>
    <w:rsid w:val="008A2CDE"/>
    <w:rsid w:val="008A3A00"/>
    <w:rsid w:val="008A3C72"/>
    <w:rsid w:val="008A529D"/>
    <w:rsid w:val="008A73D8"/>
    <w:rsid w:val="008A7C35"/>
    <w:rsid w:val="008B07B1"/>
    <w:rsid w:val="008B299C"/>
    <w:rsid w:val="008B51D8"/>
    <w:rsid w:val="008B5D86"/>
    <w:rsid w:val="008B66BC"/>
    <w:rsid w:val="008C03DB"/>
    <w:rsid w:val="008C1A97"/>
    <w:rsid w:val="008C35AA"/>
    <w:rsid w:val="008C4285"/>
    <w:rsid w:val="008C53FB"/>
    <w:rsid w:val="008C5D08"/>
    <w:rsid w:val="008C6DF1"/>
    <w:rsid w:val="008C782A"/>
    <w:rsid w:val="008D4F0B"/>
    <w:rsid w:val="008D633C"/>
    <w:rsid w:val="008D6BE2"/>
    <w:rsid w:val="008D76A5"/>
    <w:rsid w:val="008D7B5A"/>
    <w:rsid w:val="008E0BB6"/>
    <w:rsid w:val="008E1690"/>
    <w:rsid w:val="008E3704"/>
    <w:rsid w:val="008E373A"/>
    <w:rsid w:val="008E542E"/>
    <w:rsid w:val="008E788C"/>
    <w:rsid w:val="008F1141"/>
    <w:rsid w:val="008F1BEB"/>
    <w:rsid w:val="008F2933"/>
    <w:rsid w:val="008F2947"/>
    <w:rsid w:val="008F48F3"/>
    <w:rsid w:val="008F5259"/>
    <w:rsid w:val="0090002E"/>
    <w:rsid w:val="00900E29"/>
    <w:rsid w:val="0090217A"/>
    <w:rsid w:val="00903309"/>
    <w:rsid w:val="00904820"/>
    <w:rsid w:val="00904B79"/>
    <w:rsid w:val="009050C5"/>
    <w:rsid w:val="0090572F"/>
    <w:rsid w:val="009103DA"/>
    <w:rsid w:val="00910E0C"/>
    <w:rsid w:val="00911D18"/>
    <w:rsid w:val="009128A9"/>
    <w:rsid w:val="00913C88"/>
    <w:rsid w:val="00914459"/>
    <w:rsid w:val="00914539"/>
    <w:rsid w:val="009165BB"/>
    <w:rsid w:val="009203C1"/>
    <w:rsid w:val="00924AAB"/>
    <w:rsid w:val="00927DAE"/>
    <w:rsid w:val="00930425"/>
    <w:rsid w:val="009309B3"/>
    <w:rsid w:val="00931D39"/>
    <w:rsid w:val="00932036"/>
    <w:rsid w:val="00932C91"/>
    <w:rsid w:val="00932ED6"/>
    <w:rsid w:val="00933BFE"/>
    <w:rsid w:val="00935A9A"/>
    <w:rsid w:val="00937CD6"/>
    <w:rsid w:val="00940555"/>
    <w:rsid w:val="00941B64"/>
    <w:rsid w:val="00942376"/>
    <w:rsid w:val="00942675"/>
    <w:rsid w:val="009458DC"/>
    <w:rsid w:val="00945E64"/>
    <w:rsid w:val="009468E8"/>
    <w:rsid w:val="00946A73"/>
    <w:rsid w:val="0095230C"/>
    <w:rsid w:val="00952BD3"/>
    <w:rsid w:val="009576E6"/>
    <w:rsid w:val="0095792B"/>
    <w:rsid w:val="00957EE3"/>
    <w:rsid w:val="00962983"/>
    <w:rsid w:val="00963A68"/>
    <w:rsid w:val="0096432C"/>
    <w:rsid w:val="0096549D"/>
    <w:rsid w:val="009655E4"/>
    <w:rsid w:val="00966208"/>
    <w:rsid w:val="0097153B"/>
    <w:rsid w:val="00971616"/>
    <w:rsid w:val="0097186D"/>
    <w:rsid w:val="00973C9D"/>
    <w:rsid w:val="00973F4B"/>
    <w:rsid w:val="0097437E"/>
    <w:rsid w:val="009744A8"/>
    <w:rsid w:val="00975CF6"/>
    <w:rsid w:val="0098199F"/>
    <w:rsid w:val="00983933"/>
    <w:rsid w:val="00983E40"/>
    <w:rsid w:val="00984140"/>
    <w:rsid w:val="00984448"/>
    <w:rsid w:val="00984863"/>
    <w:rsid w:val="00984A2E"/>
    <w:rsid w:val="00984B25"/>
    <w:rsid w:val="009851C4"/>
    <w:rsid w:val="00985A2B"/>
    <w:rsid w:val="00985E39"/>
    <w:rsid w:val="00985F25"/>
    <w:rsid w:val="00985FBB"/>
    <w:rsid w:val="00986021"/>
    <w:rsid w:val="00986434"/>
    <w:rsid w:val="00991F01"/>
    <w:rsid w:val="00992E22"/>
    <w:rsid w:val="009931F2"/>
    <w:rsid w:val="009936D5"/>
    <w:rsid w:val="0099379E"/>
    <w:rsid w:val="00993A84"/>
    <w:rsid w:val="009953C7"/>
    <w:rsid w:val="009A02A0"/>
    <w:rsid w:val="009A0D84"/>
    <w:rsid w:val="009A16EE"/>
    <w:rsid w:val="009A2AE9"/>
    <w:rsid w:val="009A3980"/>
    <w:rsid w:val="009A4326"/>
    <w:rsid w:val="009A6C7F"/>
    <w:rsid w:val="009B168D"/>
    <w:rsid w:val="009B1831"/>
    <w:rsid w:val="009B1BD3"/>
    <w:rsid w:val="009B3917"/>
    <w:rsid w:val="009B3A31"/>
    <w:rsid w:val="009B40FF"/>
    <w:rsid w:val="009B459A"/>
    <w:rsid w:val="009B4A65"/>
    <w:rsid w:val="009B4EF9"/>
    <w:rsid w:val="009B5EC0"/>
    <w:rsid w:val="009B6A66"/>
    <w:rsid w:val="009B7B6F"/>
    <w:rsid w:val="009C06CD"/>
    <w:rsid w:val="009C37E2"/>
    <w:rsid w:val="009C432A"/>
    <w:rsid w:val="009C52EA"/>
    <w:rsid w:val="009C655E"/>
    <w:rsid w:val="009C6CAD"/>
    <w:rsid w:val="009D3628"/>
    <w:rsid w:val="009D43F8"/>
    <w:rsid w:val="009D4826"/>
    <w:rsid w:val="009D6130"/>
    <w:rsid w:val="009D6614"/>
    <w:rsid w:val="009D6D55"/>
    <w:rsid w:val="009E05A7"/>
    <w:rsid w:val="009E0919"/>
    <w:rsid w:val="009E2766"/>
    <w:rsid w:val="009E2DBA"/>
    <w:rsid w:val="009E354B"/>
    <w:rsid w:val="009E3656"/>
    <w:rsid w:val="009E5479"/>
    <w:rsid w:val="009E578D"/>
    <w:rsid w:val="009E59BB"/>
    <w:rsid w:val="009E5F31"/>
    <w:rsid w:val="009E61C4"/>
    <w:rsid w:val="009E6C12"/>
    <w:rsid w:val="009E7576"/>
    <w:rsid w:val="009E758B"/>
    <w:rsid w:val="009E7C64"/>
    <w:rsid w:val="009F0ED0"/>
    <w:rsid w:val="009F11F2"/>
    <w:rsid w:val="009F152E"/>
    <w:rsid w:val="009F153D"/>
    <w:rsid w:val="009F1DAA"/>
    <w:rsid w:val="009F1F8A"/>
    <w:rsid w:val="009F3268"/>
    <w:rsid w:val="009F346D"/>
    <w:rsid w:val="009F3501"/>
    <w:rsid w:val="009F391B"/>
    <w:rsid w:val="009F3AAA"/>
    <w:rsid w:val="009F3BF5"/>
    <w:rsid w:val="009F412D"/>
    <w:rsid w:val="009F4B9A"/>
    <w:rsid w:val="009F4E86"/>
    <w:rsid w:val="009F53EF"/>
    <w:rsid w:val="009F639A"/>
    <w:rsid w:val="009F717D"/>
    <w:rsid w:val="009F7DD6"/>
    <w:rsid w:val="00A00E6C"/>
    <w:rsid w:val="00A010D3"/>
    <w:rsid w:val="00A019AE"/>
    <w:rsid w:val="00A02262"/>
    <w:rsid w:val="00A02DBB"/>
    <w:rsid w:val="00A04FE1"/>
    <w:rsid w:val="00A0520A"/>
    <w:rsid w:val="00A1150E"/>
    <w:rsid w:val="00A11A59"/>
    <w:rsid w:val="00A1336B"/>
    <w:rsid w:val="00A179F9"/>
    <w:rsid w:val="00A2023D"/>
    <w:rsid w:val="00A20EF0"/>
    <w:rsid w:val="00A216B2"/>
    <w:rsid w:val="00A2180A"/>
    <w:rsid w:val="00A24C91"/>
    <w:rsid w:val="00A26F0B"/>
    <w:rsid w:val="00A270CD"/>
    <w:rsid w:val="00A27669"/>
    <w:rsid w:val="00A318F0"/>
    <w:rsid w:val="00A31B70"/>
    <w:rsid w:val="00A324B5"/>
    <w:rsid w:val="00A32628"/>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5DA2"/>
    <w:rsid w:val="00A57396"/>
    <w:rsid w:val="00A5779C"/>
    <w:rsid w:val="00A605A4"/>
    <w:rsid w:val="00A6186F"/>
    <w:rsid w:val="00A6296F"/>
    <w:rsid w:val="00A637E7"/>
    <w:rsid w:val="00A64D8F"/>
    <w:rsid w:val="00A67974"/>
    <w:rsid w:val="00A6799D"/>
    <w:rsid w:val="00A67A3D"/>
    <w:rsid w:val="00A705DB"/>
    <w:rsid w:val="00A743D4"/>
    <w:rsid w:val="00A74C5A"/>
    <w:rsid w:val="00A76F4B"/>
    <w:rsid w:val="00A77EC9"/>
    <w:rsid w:val="00A830A6"/>
    <w:rsid w:val="00A849B6"/>
    <w:rsid w:val="00A86FDB"/>
    <w:rsid w:val="00A87F25"/>
    <w:rsid w:val="00A90B22"/>
    <w:rsid w:val="00A910B3"/>
    <w:rsid w:val="00A9168C"/>
    <w:rsid w:val="00A91FD9"/>
    <w:rsid w:val="00A93C36"/>
    <w:rsid w:val="00A94B8C"/>
    <w:rsid w:val="00A9711B"/>
    <w:rsid w:val="00A97F82"/>
    <w:rsid w:val="00AA23BF"/>
    <w:rsid w:val="00AA37CA"/>
    <w:rsid w:val="00AA3B55"/>
    <w:rsid w:val="00AA44DE"/>
    <w:rsid w:val="00AA4651"/>
    <w:rsid w:val="00AA4732"/>
    <w:rsid w:val="00AA4BAB"/>
    <w:rsid w:val="00AA668B"/>
    <w:rsid w:val="00AA66D9"/>
    <w:rsid w:val="00AB0984"/>
    <w:rsid w:val="00AB1A4D"/>
    <w:rsid w:val="00AB21A1"/>
    <w:rsid w:val="00AB3028"/>
    <w:rsid w:val="00AB3E53"/>
    <w:rsid w:val="00AB3EE5"/>
    <w:rsid w:val="00AB4601"/>
    <w:rsid w:val="00AB7FA8"/>
    <w:rsid w:val="00AC1156"/>
    <w:rsid w:val="00AC1ED0"/>
    <w:rsid w:val="00AC286F"/>
    <w:rsid w:val="00AC3336"/>
    <w:rsid w:val="00AC33FE"/>
    <w:rsid w:val="00AC3AA8"/>
    <w:rsid w:val="00AC4A51"/>
    <w:rsid w:val="00AC5D2E"/>
    <w:rsid w:val="00AD03C5"/>
    <w:rsid w:val="00AD098B"/>
    <w:rsid w:val="00AD11A1"/>
    <w:rsid w:val="00AD1AEC"/>
    <w:rsid w:val="00AD1EED"/>
    <w:rsid w:val="00AD2238"/>
    <w:rsid w:val="00AD4783"/>
    <w:rsid w:val="00AD7B37"/>
    <w:rsid w:val="00AE05D3"/>
    <w:rsid w:val="00AE103A"/>
    <w:rsid w:val="00AE10E7"/>
    <w:rsid w:val="00AE1E6D"/>
    <w:rsid w:val="00AE2096"/>
    <w:rsid w:val="00AE2197"/>
    <w:rsid w:val="00AE3193"/>
    <w:rsid w:val="00AE3299"/>
    <w:rsid w:val="00AE4970"/>
    <w:rsid w:val="00AE5525"/>
    <w:rsid w:val="00AE5B38"/>
    <w:rsid w:val="00AE5B6B"/>
    <w:rsid w:val="00AE63F7"/>
    <w:rsid w:val="00AE6FE9"/>
    <w:rsid w:val="00AE7104"/>
    <w:rsid w:val="00AF0C5E"/>
    <w:rsid w:val="00AF1779"/>
    <w:rsid w:val="00AF3BC0"/>
    <w:rsid w:val="00AF43A6"/>
    <w:rsid w:val="00AF4C57"/>
    <w:rsid w:val="00AF4FDB"/>
    <w:rsid w:val="00AF77CF"/>
    <w:rsid w:val="00B0050F"/>
    <w:rsid w:val="00B00C43"/>
    <w:rsid w:val="00B03580"/>
    <w:rsid w:val="00B0358B"/>
    <w:rsid w:val="00B0441F"/>
    <w:rsid w:val="00B04FE4"/>
    <w:rsid w:val="00B064FF"/>
    <w:rsid w:val="00B068D0"/>
    <w:rsid w:val="00B101EB"/>
    <w:rsid w:val="00B10C4F"/>
    <w:rsid w:val="00B11D50"/>
    <w:rsid w:val="00B11DB4"/>
    <w:rsid w:val="00B12104"/>
    <w:rsid w:val="00B12B4D"/>
    <w:rsid w:val="00B130F7"/>
    <w:rsid w:val="00B13512"/>
    <w:rsid w:val="00B13AF9"/>
    <w:rsid w:val="00B140F3"/>
    <w:rsid w:val="00B14B72"/>
    <w:rsid w:val="00B16D82"/>
    <w:rsid w:val="00B16EA8"/>
    <w:rsid w:val="00B17964"/>
    <w:rsid w:val="00B20407"/>
    <w:rsid w:val="00B21799"/>
    <w:rsid w:val="00B22B88"/>
    <w:rsid w:val="00B247AB"/>
    <w:rsid w:val="00B24C39"/>
    <w:rsid w:val="00B2553E"/>
    <w:rsid w:val="00B262CF"/>
    <w:rsid w:val="00B2657C"/>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4E00"/>
    <w:rsid w:val="00B64F9C"/>
    <w:rsid w:val="00B676A6"/>
    <w:rsid w:val="00B7066E"/>
    <w:rsid w:val="00B70B4F"/>
    <w:rsid w:val="00B70F37"/>
    <w:rsid w:val="00B7174E"/>
    <w:rsid w:val="00B7203F"/>
    <w:rsid w:val="00B7370C"/>
    <w:rsid w:val="00B74342"/>
    <w:rsid w:val="00B74D97"/>
    <w:rsid w:val="00B80A6A"/>
    <w:rsid w:val="00B83338"/>
    <w:rsid w:val="00B83948"/>
    <w:rsid w:val="00B8436E"/>
    <w:rsid w:val="00B854D6"/>
    <w:rsid w:val="00B85992"/>
    <w:rsid w:val="00B85C51"/>
    <w:rsid w:val="00B86042"/>
    <w:rsid w:val="00B8739E"/>
    <w:rsid w:val="00B87480"/>
    <w:rsid w:val="00B87C95"/>
    <w:rsid w:val="00B91B2D"/>
    <w:rsid w:val="00B91F48"/>
    <w:rsid w:val="00B9488B"/>
    <w:rsid w:val="00B94914"/>
    <w:rsid w:val="00B94F38"/>
    <w:rsid w:val="00B95A58"/>
    <w:rsid w:val="00B9709E"/>
    <w:rsid w:val="00BA0D24"/>
    <w:rsid w:val="00BA2226"/>
    <w:rsid w:val="00BA261E"/>
    <w:rsid w:val="00BA35A9"/>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1C7C"/>
    <w:rsid w:val="00BC28F6"/>
    <w:rsid w:val="00BC49F0"/>
    <w:rsid w:val="00BC58D3"/>
    <w:rsid w:val="00BC6DE8"/>
    <w:rsid w:val="00BC7974"/>
    <w:rsid w:val="00BE233D"/>
    <w:rsid w:val="00BE5685"/>
    <w:rsid w:val="00BE632C"/>
    <w:rsid w:val="00BE70B6"/>
    <w:rsid w:val="00BF1488"/>
    <w:rsid w:val="00BF18BC"/>
    <w:rsid w:val="00BF343F"/>
    <w:rsid w:val="00BF462D"/>
    <w:rsid w:val="00BF5444"/>
    <w:rsid w:val="00BF5884"/>
    <w:rsid w:val="00BF5F72"/>
    <w:rsid w:val="00BF640D"/>
    <w:rsid w:val="00BF6CD9"/>
    <w:rsid w:val="00BF7831"/>
    <w:rsid w:val="00C00206"/>
    <w:rsid w:val="00C02091"/>
    <w:rsid w:val="00C02665"/>
    <w:rsid w:val="00C02D3E"/>
    <w:rsid w:val="00C03924"/>
    <w:rsid w:val="00C05305"/>
    <w:rsid w:val="00C05344"/>
    <w:rsid w:val="00C053D0"/>
    <w:rsid w:val="00C064B9"/>
    <w:rsid w:val="00C078B2"/>
    <w:rsid w:val="00C07E23"/>
    <w:rsid w:val="00C11F59"/>
    <w:rsid w:val="00C13E92"/>
    <w:rsid w:val="00C1443E"/>
    <w:rsid w:val="00C14B0C"/>
    <w:rsid w:val="00C15267"/>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0A9B"/>
    <w:rsid w:val="00C519BC"/>
    <w:rsid w:val="00C52D70"/>
    <w:rsid w:val="00C538C3"/>
    <w:rsid w:val="00C53995"/>
    <w:rsid w:val="00C54706"/>
    <w:rsid w:val="00C56DF2"/>
    <w:rsid w:val="00C57550"/>
    <w:rsid w:val="00C57F50"/>
    <w:rsid w:val="00C61DEE"/>
    <w:rsid w:val="00C65A24"/>
    <w:rsid w:val="00C65BF4"/>
    <w:rsid w:val="00C6604D"/>
    <w:rsid w:val="00C666E8"/>
    <w:rsid w:val="00C66E2D"/>
    <w:rsid w:val="00C66E69"/>
    <w:rsid w:val="00C67403"/>
    <w:rsid w:val="00C67ADF"/>
    <w:rsid w:val="00C7011D"/>
    <w:rsid w:val="00C703A3"/>
    <w:rsid w:val="00C716D9"/>
    <w:rsid w:val="00C740F6"/>
    <w:rsid w:val="00C74A3F"/>
    <w:rsid w:val="00C74CE0"/>
    <w:rsid w:val="00C77964"/>
    <w:rsid w:val="00C82FAB"/>
    <w:rsid w:val="00C831A8"/>
    <w:rsid w:val="00C833CE"/>
    <w:rsid w:val="00C84F81"/>
    <w:rsid w:val="00C85AFB"/>
    <w:rsid w:val="00C86A8D"/>
    <w:rsid w:val="00C8761F"/>
    <w:rsid w:val="00C877EA"/>
    <w:rsid w:val="00C9013B"/>
    <w:rsid w:val="00C909BD"/>
    <w:rsid w:val="00C90B23"/>
    <w:rsid w:val="00C926BF"/>
    <w:rsid w:val="00C931C8"/>
    <w:rsid w:val="00C9389F"/>
    <w:rsid w:val="00C94CB9"/>
    <w:rsid w:val="00C94D19"/>
    <w:rsid w:val="00C94DCC"/>
    <w:rsid w:val="00C950BA"/>
    <w:rsid w:val="00C963B4"/>
    <w:rsid w:val="00CA291F"/>
    <w:rsid w:val="00CA339E"/>
    <w:rsid w:val="00CA3803"/>
    <w:rsid w:val="00CA45B8"/>
    <w:rsid w:val="00CA47F9"/>
    <w:rsid w:val="00CA6817"/>
    <w:rsid w:val="00CA6AA3"/>
    <w:rsid w:val="00CA6BC8"/>
    <w:rsid w:val="00CA76A4"/>
    <w:rsid w:val="00CB0230"/>
    <w:rsid w:val="00CB0290"/>
    <w:rsid w:val="00CB1D18"/>
    <w:rsid w:val="00CB47F7"/>
    <w:rsid w:val="00CB57AA"/>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3C8"/>
    <w:rsid w:val="00CD4738"/>
    <w:rsid w:val="00CD5961"/>
    <w:rsid w:val="00CD5E1B"/>
    <w:rsid w:val="00CD6D14"/>
    <w:rsid w:val="00CD76B1"/>
    <w:rsid w:val="00CE3CD2"/>
    <w:rsid w:val="00CE449E"/>
    <w:rsid w:val="00CE5F1C"/>
    <w:rsid w:val="00CE756F"/>
    <w:rsid w:val="00CF06E5"/>
    <w:rsid w:val="00CF0CB9"/>
    <w:rsid w:val="00CF1951"/>
    <w:rsid w:val="00CF4791"/>
    <w:rsid w:val="00CF5743"/>
    <w:rsid w:val="00CF69DC"/>
    <w:rsid w:val="00CF6B5B"/>
    <w:rsid w:val="00D01623"/>
    <w:rsid w:val="00D01EF2"/>
    <w:rsid w:val="00D03181"/>
    <w:rsid w:val="00D041FC"/>
    <w:rsid w:val="00D042E1"/>
    <w:rsid w:val="00D055DC"/>
    <w:rsid w:val="00D0577B"/>
    <w:rsid w:val="00D10451"/>
    <w:rsid w:val="00D1149E"/>
    <w:rsid w:val="00D11643"/>
    <w:rsid w:val="00D13687"/>
    <w:rsid w:val="00D145A3"/>
    <w:rsid w:val="00D204F4"/>
    <w:rsid w:val="00D22305"/>
    <w:rsid w:val="00D23C4F"/>
    <w:rsid w:val="00D23EA6"/>
    <w:rsid w:val="00D24730"/>
    <w:rsid w:val="00D24DDA"/>
    <w:rsid w:val="00D2634D"/>
    <w:rsid w:val="00D275EF"/>
    <w:rsid w:val="00D301C7"/>
    <w:rsid w:val="00D30733"/>
    <w:rsid w:val="00D30D9E"/>
    <w:rsid w:val="00D3158F"/>
    <w:rsid w:val="00D3210F"/>
    <w:rsid w:val="00D338B3"/>
    <w:rsid w:val="00D33983"/>
    <w:rsid w:val="00D37E99"/>
    <w:rsid w:val="00D4188A"/>
    <w:rsid w:val="00D422C0"/>
    <w:rsid w:val="00D436A7"/>
    <w:rsid w:val="00D43862"/>
    <w:rsid w:val="00D452C5"/>
    <w:rsid w:val="00D46441"/>
    <w:rsid w:val="00D466AA"/>
    <w:rsid w:val="00D47220"/>
    <w:rsid w:val="00D47406"/>
    <w:rsid w:val="00D51027"/>
    <w:rsid w:val="00D51765"/>
    <w:rsid w:val="00D51EE2"/>
    <w:rsid w:val="00D52681"/>
    <w:rsid w:val="00D528F9"/>
    <w:rsid w:val="00D529C4"/>
    <w:rsid w:val="00D52D01"/>
    <w:rsid w:val="00D53F1E"/>
    <w:rsid w:val="00D54767"/>
    <w:rsid w:val="00D54B40"/>
    <w:rsid w:val="00D54C95"/>
    <w:rsid w:val="00D568DD"/>
    <w:rsid w:val="00D56EC5"/>
    <w:rsid w:val="00D62DC2"/>
    <w:rsid w:val="00D62F9B"/>
    <w:rsid w:val="00D653E8"/>
    <w:rsid w:val="00D673A1"/>
    <w:rsid w:val="00D70D50"/>
    <w:rsid w:val="00D71BD9"/>
    <w:rsid w:val="00D737F1"/>
    <w:rsid w:val="00D8038F"/>
    <w:rsid w:val="00D80ECC"/>
    <w:rsid w:val="00D816D5"/>
    <w:rsid w:val="00D81FB1"/>
    <w:rsid w:val="00D848DD"/>
    <w:rsid w:val="00D849D6"/>
    <w:rsid w:val="00D84DB2"/>
    <w:rsid w:val="00D858F9"/>
    <w:rsid w:val="00D85E50"/>
    <w:rsid w:val="00D87444"/>
    <w:rsid w:val="00D87ED8"/>
    <w:rsid w:val="00D90D28"/>
    <w:rsid w:val="00D923F7"/>
    <w:rsid w:val="00D92723"/>
    <w:rsid w:val="00D92776"/>
    <w:rsid w:val="00D92F9A"/>
    <w:rsid w:val="00D936B1"/>
    <w:rsid w:val="00D93D2A"/>
    <w:rsid w:val="00D93E95"/>
    <w:rsid w:val="00D94163"/>
    <w:rsid w:val="00D96612"/>
    <w:rsid w:val="00DA1B49"/>
    <w:rsid w:val="00DA271D"/>
    <w:rsid w:val="00DA3559"/>
    <w:rsid w:val="00DA4493"/>
    <w:rsid w:val="00DA4D6A"/>
    <w:rsid w:val="00DA4F02"/>
    <w:rsid w:val="00DA52E3"/>
    <w:rsid w:val="00DA55DD"/>
    <w:rsid w:val="00DB1020"/>
    <w:rsid w:val="00DB1E77"/>
    <w:rsid w:val="00DB2395"/>
    <w:rsid w:val="00DB26F4"/>
    <w:rsid w:val="00DB5054"/>
    <w:rsid w:val="00DB5237"/>
    <w:rsid w:val="00DB67D3"/>
    <w:rsid w:val="00DB6A61"/>
    <w:rsid w:val="00DB6DC6"/>
    <w:rsid w:val="00DC3739"/>
    <w:rsid w:val="00DC463E"/>
    <w:rsid w:val="00DC4EE6"/>
    <w:rsid w:val="00DC582D"/>
    <w:rsid w:val="00DC6096"/>
    <w:rsid w:val="00DC6478"/>
    <w:rsid w:val="00DC6F19"/>
    <w:rsid w:val="00DC6F4B"/>
    <w:rsid w:val="00DC7864"/>
    <w:rsid w:val="00DD0199"/>
    <w:rsid w:val="00DD1FB6"/>
    <w:rsid w:val="00DD37E2"/>
    <w:rsid w:val="00DD391E"/>
    <w:rsid w:val="00DD3A42"/>
    <w:rsid w:val="00DD4FB5"/>
    <w:rsid w:val="00DD562E"/>
    <w:rsid w:val="00DD6309"/>
    <w:rsid w:val="00DD6562"/>
    <w:rsid w:val="00DD7640"/>
    <w:rsid w:val="00DE12EA"/>
    <w:rsid w:val="00DE1B30"/>
    <w:rsid w:val="00DE30BB"/>
    <w:rsid w:val="00DE35F0"/>
    <w:rsid w:val="00DE4FC4"/>
    <w:rsid w:val="00DE50AB"/>
    <w:rsid w:val="00DE60EF"/>
    <w:rsid w:val="00DF0932"/>
    <w:rsid w:val="00DF19CC"/>
    <w:rsid w:val="00DF2741"/>
    <w:rsid w:val="00DF2C42"/>
    <w:rsid w:val="00DF36BC"/>
    <w:rsid w:val="00DF3849"/>
    <w:rsid w:val="00DF38D3"/>
    <w:rsid w:val="00DF3DBE"/>
    <w:rsid w:val="00DF3E1D"/>
    <w:rsid w:val="00DF4C03"/>
    <w:rsid w:val="00DF4F7C"/>
    <w:rsid w:val="00DF6F82"/>
    <w:rsid w:val="00E01BA8"/>
    <w:rsid w:val="00E01BFE"/>
    <w:rsid w:val="00E03670"/>
    <w:rsid w:val="00E041DE"/>
    <w:rsid w:val="00E0546D"/>
    <w:rsid w:val="00E0567C"/>
    <w:rsid w:val="00E06F7E"/>
    <w:rsid w:val="00E11554"/>
    <w:rsid w:val="00E14A31"/>
    <w:rsid w:val="00E1535C"/>
    <w:rsid w:val="00E159EB"/>
    <w:rsid w:val="00E15AF1"/>
    <w:rsid w:val="00E162B3"/>
    <w:rsid w:val="00E16C24"/>
    <w:rsid w:val="00E210EC"/>
    <w:rsid w:val="00E233B8"/>
    <w:rsid w:val="00E2351F"/>
    <w:rsid w:val="00E23D80"/>
    <w:rsid w:val="00E24403"/>
    <w:rsid w:val="00E24547"/>
    <w:rsid w:val="00E24AF0"/>
    <w:rsid w:val="00E24D35"/>
    <w:rsid w:val="00E258EE"/>
    <w:rsid w:val="00E25CC5"/>
    <w:rsid w:val="00E275BE"/>
    <w:rsid w:val="00E30AC2"/>
    <w:rsid w:val="00E31558"/>
    <w:rsid w:val="00E3391C"/>
    <w:rsid w:val="00E34015"/>
    <w:rsid w:val="00E3532B"/>
    <w:rsid w:val="00E369BE"/>
    <w:rsid w:val="00E37E26"/>
    <w:rsid w:val="00E404D6"/>
    <w:rsid w:val="00E4090F"/>
    <w:rsid w:val="00E4093C"/>
    <w:rsid w:val="00E40B54"/>
    <w:rsid w:val="00E42B69"/>
    <w:rsid w:val="00E42EC6"/>
    <w:rsid w:val="00E43DFF"/>
    <w:rsid w:val="00E445EE"/>
    <w:rsid w:val="00E44733"/>
    <w:rsid w:val="00E4585F"/>
    <w:rsid w:val="00E45BD1"/>
    <w:rsid w:val="00E5041C"/>
    <w:rsid w:val="00E50929"/>
    <w:rsid w:val="00E50E8B"/>
    <w:rsid w:val="00E51D09"/>
    <w:rsid w:val="00E53735"/>
    <w:rsid w:val="00E552EB"/>
    <w:rsid w:val="00E57DFF"/>
    <w:rsid w:val="00E60215"/>
    <w:rsid w:val="00E6212B"/>
    <w:rsid w:val="00E62EEE"/>
    <w:rsid w:val="00E637FD"/>
    <w:rsid w:val="00E65660"/>
    <w:rsid w:val="00E6629A"/>
    <w:rsid w:val="00E672D1"/>
    <w:rsid w:val="00E67B8E"/>
    <w:rsid w:val="00E67F45"/>
    <w:rsid w:val="00E70130"/>
    <w:rsid w:val="00E724F6"/>
    <w:rsid w:val="00E72F17"/>
    <w:rsid w:val="00E75607"/>
    <w:rsid w:val="00E7637F"/>
    <w:rsid w:val="00E76C6B"/>
    <w:rsid w:val="00E7741A"/>
    <w:rsid w:val="00E805C9"/>
    <w:rsid w:val="00E80DF6"/>
    <w:rsid w:val="00E83219"/>
    <w:rsid w:val="00E83A90"/>
    <w:rsid w:val="00E8577A"/>
    <w:rsid w:val="00E87886"/>
    <w:rsid w:val="00E931B2"/>
    <w:rsid w:val="00E93D54"/>
    <w:rsid w:val="00E944EE"/>
    <w:rsid w:val="00E94A89"/>
    <w:rsid w:val="00E95213"/>
    <w:rsid w:val="00E97722"/>
    <w:rsid w:val="00E97B62"/>
    <w:rsid w:val="00E97DAD"/>
    <w:rsid w:val="00EA0241"/>
    <w:rsid w:val="00EA0E71"/>
    <w:rsid w:val="00EA128A"/>
    <w:rsid w:val="00EA2BB9"/>
    <w:rsid w:val="00EA623F"/>
    <w:rsid w:val="00EA65C2"/>
    <w:rsid w:val="00EA70C7"/>
    <w:rsid w:val="00EB0C0E"/>
    <w:rsid w:val="00EB1FC2"/>
    <w:rsid w:val="00EB5F47"/>
    <w:rsid w:val="00EB6D8F"/>
    <w:rsid w:val="00EC01E3"/>
    <w:rsid w:val="00EC21AA"/>
    <w:rsid w:val="00EC55A5"/>
    <w:rsid w:val="00EC595B"/>
    <w:rsid w:val="00EC679F"/>
    <w:rsid w:val="00EC75B4"/>
    <w:rsid w:val="00EC76CF"/>
    <w:rsid w:val="00ED033D"/>
    <w:rsid w:val="00ED0394"/>
    <w:rsid w:val="00ED0904"/>
    <w:rsid w:val="00ED60D2"/>
    <w:rsid w:val="00ED64EB"/>
    <w:rsid w:val="00ED7B0D"/>
    <w:rsid w:val="00ED7E04"/>
    <w:rsid w:val="00EE01E1"/>
    <w:rsid w:val="00EE1066"/>
    <w:rsid w:val="00EE1135"/>
    <w:rsid w:val="00EE1B0B"/>
    <w:rsid w:val="00EE225C"/>
    <w:rsid w:val="00EE487A"/>
    <w:rsid w:val="00EE494F"/>
    <w:rsid w:val="00EE4ECA"/>
    <w:rsid w:val="00EE5A7F"/>
    <w:rsid w:val="00EE5E96"/>
    <w:rsid w:val="00EE6E0B"/>
    <w:rsid w:val="00EE6F98"/>
    <w:rsid w:val="00EF0BD2"/>
    <w:rsid w:val="00EF1EAF"/>
    <w:rsid w:val="00EF267B"/>
    <w:rsid w:val="00EF26AC"/>
    <w:rsid w:val="00EF57A4"/>
    <w:rsid w:val="00EF5F8A"/>
    <w:rsid w:val="00EF6428"/>
    <w:rsid w:val="00EF6447"/>
    <w:rsid w:val="00EF702F"/>
    <w:rsid w:val="00EF7FA0"/>
    <w:rsid w:val="00F0275B"/>
    <w:rsid w:val="00F034A6"/>
    <w:rsid w:val="00F03A1A"/>
    <w:rsid w:val="00F0528A"/>
    <w:rsid w:val="00F06390"/>
    <w:rsid w:val="00F06BBD"/>
    <w:rsid w:val="00F0768C"/>
    <w:rsid w:val="00F10223"/>
    <w:rsid w:val="00F10B25"/>
    <w:rsid w:val="00F12B45"/>
    <w:rsid w:val="00F13793"/>
    <w:rsid w:val="00F16F6E"/>
    <w:rsid w:val="00F20A2B"/>
    <w:rsid w:val="00F21370"/>
    <w:rsid w:val="00F23832"/>
    <w:rsid w:val="00F242CE"/>
    <w:rsid w:val="00F25EB9"/>
    <w:rsid w:val="00F2656E"/>
    <w:rsid w:val="00F267C2"/>
    <w:rsid w:val="00F2712F"/>
    <w:rsid w:val="00F27A78"/>
    <w:rsid w:val="00F31E4A"/>
    <w:rsid w:val="00F32858"/>
    <w:rsid w:val="00F33B8B"/>
    <w:rsid w:val="00F358FA"/>
    <w:rsid w:val="00F35C12"/>
    <w:rsid w:val="00F35FFA"/>
    <w:rsid w:val="00F37E80"/>
    <w:rsid w:val="00F37FF2"/>
    <w:rsid w:val="00F40716"/>
    <w:rsid w:val="00F40B62"/>
    <w:rsid w:val="00F41345"/>
    <w:rsid w:val="00F41A53"/>
    <w:rsid w:val="00F41FC1"/>
    <w:rsid w:val="00F42AB0"/>
    <w:rsid w:val="00F44B90"/>
    <w:rsid w:val="00F44EBE"/>
    <w:rsid w:val="00F4700C"/>
    <w:rsid w:val="00F47219"/>
    <w:rsid w:val="00F50519"/>
    <w:rsid w:val="00F50E50"/>
    <w:rsid w:val="00F534BF"/>
    <w:rsid w:val="00F53EA3"/>
    <w:rsid w:val="00F548C0"/>
    <w:rsid w:val="00F57102"/>
    <w:rsid w:val="00F60419"/>
    <w:rsid w:val="00F60825"/>
    <w:rsid w:val="00F61183"/>
    <w:rsid w:val="00F61BF7"/>
    <w:rsid w:val="00F61D65"/>
    <w:rsid w:val="00F62178"/>
    <w:rsid w:val="00F62464"/>
    <w:rsid w:val="00F6317E"/>
    <w:rsid w:val="00F635AA"/>
    <w:rsid w:val="00F63FA2"/>
    <w:rsid w:val="00F654B8"/>
    <w:rsid w:val="00F71364"/>
    <w:rsid w:val="00F7402C"/>
    <w:rsid w:val="00F74715"/>
    <w:rsid w:val="00F74CC2"/>
    <w:rsid w:val="00F75E73"/>
    <w:rsid w:val="00F773D0"/>
    <w:rsid w:val="00F776A5"/>
    <w:rsid w:val="00F77E92"/>
    <w:rsid w:val="00F80313"/>
    <w:rsid w:val="00F8171D"/>
    <w:rsid w:val="00F81798"/>
    <w:rsid w:val="00F82A08"/>
    <w:rsid w:val="00F84D65"/>
    <w:rsid w:val="00F85613"/>
    <w:rsid w:val="00F85C76"/>
    <w:rsid w:val="00F86522"/>
    <w:rsid w:val="00F86B4E"/>
    <w:rsid w:val="00F8709B"/>
    <w:rsid w:val="00F8760A"/>
    <w:rsid w:val="00F91948"/>
    <w:rsid w:val="00F932AC"/>
    <w:rsid w:val="00F932DF"/>
    <w:rsid w:val="00F94450"/>
    <w:rsid w:val="00F95F5A"/>
    <w:rsid w:val="00F962D8"/>
    <w:rsid w:val="00F96352"/>
    <w:rsid w:val="00FA06A6"/>
    <w:rsid w:val="00FA154B"/>
    <w:rsid w:val="00FA1AC3"/>
    <w:rsid w:val="00FA3160"/>
    <w:rsid w:val="00FA3FA4"/>
    <w:rsid w:val="00FA50F6"/>
    <w:rsid w:val="00FA556D"/>
    <w:rsid w:val="00FA61E4"/>
    <w:rsid w:val="00FA635F"/>
    <w:rsid w:val="00FA6887"/>
    <w:rsid w:val="00FA78F2"/>
    <w:rsid w:val="00FA7E63"/>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C7C18"/>
    <w:rsid w:val="00FD0592"/>
    <w:rsid w:val="00FD0760"/>
    <w:rsid w:val="00FD0D3A"/>
    <w:rsid w:val="00FD41CC"/>
    <w:rsid w:val="00FD4A9C"/>
    <w:rsid w:val="00FD6C17"/>
    <w:rsid w:val="00FD6D8A"/>
    <w:rsid w:val="00FD6ED1"/>
    <w:rsid w:val="00FE0428"/>
    <w:rsid w:val="00FE0705"/>
    <w:rsid w:val="00FE18D5"/>
    <w:rsid w:val="00FE2BC1"/>
    <w:rsid w:val="00FE404E"/>
    <w:rsid w:val="00FE48F1"/>
    <w:rsid w:val="00FE5E3C"/>
    <w:rsid w:val="00FE7DE8"/>
    <w:rsid w:val="00FF075C"/>
    <w:rsid w:val="00FF0F48"/>
    <w:rsid w:val="00FF11BC"/>
    <w:rsid w:val="00FF1D60"/>
    <w:rsid w:val="00FF1EB2"/>
    <w:rsid w:val="00FF34AA"/>
    <w:rsid w:val="00FF3E7B"/>
    <w:rsid w:val="00FF4500"/>
    <w:rsid w:val="00FF4CC0"/>
    <w:rsid w:val="00FF4FCB"/>
    <w:rsid w:val="00FF631D"/>
    <w:rsid w:val="00FF6CF4"/>
    <w:rsid w:val="00FF6D7F"/>
    <w:rsid w:val="00FF7B9F"/>
    <w:rsid w:val="00FF7C73"/>
    <w:rsid w:val="02B70495"/>
    <w:rsid w:val="05EA54D6"/>
    <w:rsid w:val="0715BCBE"/>
    <w:rsid w:val="074D4958"/>
    <w:rsid w:val="0B7058C9"/>
    <w:rsid w:val="0F22CCA5"/>
    <w:rsid w:val="1250A7F6"/>
    <w:rsid w:val="15A2B832"/>
    <w:rsid w:val="15E5303E"/>
    <w:rsid w:val="1A06F739"/>
    <w:rsid w:val="1F2421C5"/>
    <w:rsid w:val="28228567"/>
    <w:rsid w:val="2CA25FB7"/>
    <w:rsid w:val="2D9204F0"/>
    <w:rsid w:val="460B6E9C"/>
    <w:rsid w:val="48217AC4"/>
    <w:rsid w:val="4EA6DEA5"/>
    <w:rsid w:val="516C64AE"/>
    <w:rsid w:val="51B73369"/>
    <w:rsid w:val="596ACEAF"/>
    <w:rsid w:val="59C0B653"/>
    <w:rsid w:val="647F2998"/>
    <w:rsid w:val="6719C3A2"/>
    <w:rsid w:val="6A3C6644"/>
    <w:rsid w:val="70484827"/>
    <w:rsid w:val="739BDE54"/>
    <w:rsid w:val="7401044D"/>
    <w:rsid w:val="7BA5A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51F09"/>
  <w14:defaultImageDpi w14:val="0"/>
  <w15:docId w15:val="{DC253099-53A5-4A81-8539-ADD71FC7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0415"/>
    <w:rPr>
      <w:rFonts w:ascii="Times New Roman" w:hAnsi="Times New Roman" w:cs="Times New Roman"/>
      <w:sz w:val="24"/>
      <w:szCs w:val="24"/>
      <w:lang w:val="en-GB" w:eastAsia="en-GB"/>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b/>
      <w:bCs/>
    </w:rPr>
  </w:style>
  <w:style w:type="paragraph" w:styleId="Heading6">
    <w:name w:val="heading 6"/>
    <w:basedOn w:val="Normal"/>
    <w:link w:val="Heading6Char"/>
    <w:uiPriority w:val="9"/>
    <w:qFormat/>
    <w:pPr>
      <w:ind w:left="833"/>
      <w:outlineLvl w:val="5"/>
    </w:pPr>
    <w:rPr>
      <w:b/>
      <w:bCs/>
      <w:i/>
    </w:rPr>
  </w:style>
  <w:style w:type="paragraph" w:styleId="Heading7">
    <w:name w:val="heading 7"/>
    <w:basedOn w:val="Normal"/>
    <w:next w:val="Normal"/>
    <w:link w:val="Heading7Char"/>
    <w:uiPriority w:val="9"/>
    <w:qFormat/>
    <w:rsid w:val="00272DF6"/>
    <w:pPr>
      <w:numPr>
        <w:ilvl w:val="6"/>
        <w:numId w:val="11"/>
      </w:numPr>
      <w:spacing w:before="240" w:after="60"/>
      <w:ind w:left="4748" w:hanging="708"/>
      <w:jc w:val="both"/>
      <w:outlineLvl w:val="6"/>
    </w:pPr>
    <w:rPr>
      <w:rFonts w:ascii="Arial" w:hAnsi="Arial"/>
      <w:sz w:val="20"/>
      <w:szCs w:val="20"/>
    </w:rPr>
  </w:style>
  <w:style w:type="paragraph" w:styleId="Heading8">
    <w:name w:val="heading 8"/>
    <w:basedOn w:val="Normal"/>
    <w:next w:val="Normal"/>
    <w:link w:val="Heading8Char"/>
    <w:uiPriority w:val="9"/>
    <w:qFormat/>
    <w:rsid w:val="00272DF6"/>
    <w:pPr>
      <w:numPr>
        <w:ilvl w:val="7"/>
        <w:numId w:val="11"/>
      </w:numPr>
      <w:spacing w:before="240" w:after="60"/>
      <w:ind w:left="5456" w:hanging="708"/>
      <w:jc w:val="both"/>
      <w:outlineLvl w:val="7"/>
    </w:pPr>
    <w:rPr>
      <w:rFonts w:ascii="Arial" w:hAnsi="Arial"/>
      <w:i/>
      <w:sz w:val="20"/>
      <w:szCs w:val="20"/>
    </w:rPr>
  </w:style>
  <w:style w:type="paragraph" w:styleId="Heading9">
    <w:name w:val="heading 9"/>
    <w:basedOn w:val="Normal"/>
    <w:next w:val="Normal"/>
    <w:link w:val="Heading9Char"/>
    <w:uiPriority w:val="9"/>
    <w:qFormat/>
    <w:rsid w:val="00272DF6"/>
    <w:pPr>
      <w:numPr>
        <w:ilvl w:val="8"/>
        <w:numId w:val="11"/>
      </w:numPr>
      <w:spacing w:before="240" w:after="60"/>
      <w:ind w:left="6164" w:hanging="708"/>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CommentSubject1">
    <w:name w:val="Comment Subject1"/>
    <w:basedOn w:val="CommentText1"/>
    <w:next w:val="CommentText1"/>
    <w:link w:val="CommentSubjectChar"/>
    <w:uiPriority w:val="99"/>
    <w:unhideWhenUsed/>
    <w:rsid w:val="002A2180"/>
    <w:rPr>
      <w:b/>
      <w:bCs/>
    </w:rPr>
  </w:style>
  <w:style w:type="paragraph" w:customStyle="1" w:styleId="CommentText1">
    <w:name w:val="Comment Text1"/>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1"/>
    <w:uiPriority w:val="99"/>
    <w:locked/>
    <w:rsid w:val="002A2180"/>
    <w:rPr>
      <w:rFonts w:cs="Times New Roman"/>
      <w:lang w:val="en-US" w:eastAsia="en-US"/>
    </w:rPr>
  </w:style>
  <w:style w:type="character" w:customStyle="1" w:styleId="CommentReference1">
    <w:name w:val="Comment Reference1"/>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SubjectChar">
    <w:name w:val="Comment Subject Char"/>
    <w:basedOn w:val="CommentTextChar"/>
    <w:link w:val="CommentSubject1"/>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spacing w:before="100" w:beforeAutospacing="1" w:after="100" w:afterAutospacing="1"/>
    </w:pPr>
    <w:rPr>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jc w:val="both"/>
      <w:outlineLvl w:val="0"/>
    </w:pPr>
    <w:rPr>
      <w:rFonts w:ascii="ArialNarrow,Bold" w:hAnsi="ArialNarrow,Bold" w:cs="ArialNarrow,Bold"/>
      <w:b/>
      <w:bCs/>
      <w:color w:val="000080"/>
    </w:rPr>
  </w:style>
  <w:style w:type="paragraph" w:customStyle="1" w:styleId="Heading30">
    <w:name w:val="Heading3"/>
    <w:basedOn w:val="Normal"/>
    <w:rsid w:val="00272DF6"/>
    <w:pPr>
      <w:jc w:val="both"/>
      <w:outlineLvl w:val="0"/>
    </w:pPr>
    <w:rPr>
      <w:rFonts w:ascii="ArialNarrow,Bold" w:hAnsi="ArialNarrow,Bold" w:cs="ArialNarrow,Bold"/>
      <w:b/>
      <w:bCs/>
      <w:color w:val="000080"/>
    </w:rPr>
  </w:style>
  <w:style w:type="paragraph" w:customStyle="1" w:styleId="Me">
    <w:name w:val="Me"/>
    <w:basedOn w:val="Normal"/>
    <w:rsid w:val="00272DF6"/>
    <w:pPr>
      <w:keepNext/>
      <w:keepLines/>
      <w:spacing w:after="120"/>
      <w:ind w:left="697" w:hanging="697"/>
      <w:jc w:val="both"/>
      <w:outlineLvl w:val="1"/>
    </w:pPr>
    <w:rPr>
      <w:rFonts w:ascii="Arial" w:hAnsi="Arial" w:cs="Arial"/>
      <w:b/>
      <w:i/>
      <w:sz w:val="28"/>
      <w:szCs w:val="28"/>
    </w:rPr>
  </w:style>
  <w:style w:type="paragraph" w:customStyle="1" w:styleId="Text1Char">
    <w:name w:val="Text 1 Char"/>
    <w:basedOn w:val="Normal"/>
    <w:link w:val="Text1CharChar"/>
    <w:rsid w:val="00272DF6"/>
    <w:pPr>
      <w:spacing w:after="240"/>
      <w:ind w:left="482"/>
      <w:jc w:val="both"/>
    </w:pPr>
    <w:rPr>
      <w:szCs w:val="20"/>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pBdr>
        <w:top w:val="single" w:sz="24" w:space="1" w:color="auto"/>
        <w:left w:val="single" w:sz="24" w:space="1" w:color="auto"/>
        <w:bottom w:val="single" w:sz="24" w:space="1" w:color="auto"/>
        <w:right w:val="single" w:sz="24" w:space="1" w:color="auto"/>
      </w:pBdr>
      <w:shd w:val="pct10" w:color="auto" w:fill="auto"/>
      <w:ind w:right="-21"/>
      <w:jc w:val="both"/>
    </w:pPr>
    <w:rPr>
      <w:b/>
      <w:szCs w:val="20"/>
    </w:rPr>
  </w:style>
  <w:style w:type="paragraph" w:customStyle="1" w:styleId="BodyText1">
    <w:name w:val="Body Text1"/>
    <w:basedOn w:val="Normal"/>
    <w:rsid w:val="00272DF6"/>
    <w:pPr>
      <w:ind w:left="2880"/>
      <w:jc w:val="both"/>
    </w:pPr>
    <w:rPr>
      <w:szCs w:val="20"/>
    </w:rPr>
  </w:style>
  <w:style w:type="paragraph" w:customStyle="1" w:styleId="formquest1">
    <w:name w:val="formquest1"/>
    <w:basedOn w:val="Normal"/>
    <w:rsid w:val="00272DF6"/>
    <w:pPr>
      <w:tabs>
        <w:tab w:val="left" w:pos="2880"/>
        <w:tab w:val="left" w:leader="dot" w:pos="8640"/>
      </w:tabs>
      <w:jc w:val="both"/>
    </w:pPr>
    <w:rPr>
      <w:b/>
      <w:szCs w:val="20"/>
    </w:rPr>
  </w:style>
  <w:style w:type="paragraph" w:customStyle="1" w:styleId="ZCom">
    <w:name w:val="Z_Com"/>
    <w:basedOn w:val="Normal"/>
    <w:next w:val="ZDGName"/>
    <w:rsid w:val="00272DF6"/>
    <w:pPr>
      <w:ind w:right="85"/>
      <w:jc w:val="both"/>
    </w:pPr>
    <w:rPr>
      <w:rFonts w:ascii="Arial" w:hAnsi="Arial"/>
      <w:szCs w:val="20"/>
    </w:rPr>
  </w:style>
  <w:style w:type="paragraph" w:customStyle="1" w:styleId="ZDGName">
    <w:name w:val="Z_DGName"/>
    <w:basedOn w:val="Normal"/>
    <w:rsid w:val="00272DF6"/>
    <w:pPr>
      <w:ind w:right="85"/>
      <w:jc w:val="both"/>
    </w:pPr>
    <w:rPr>
      <w:rFonts w:ascii="Arial" w:hAnsi="Arial"/>
      <w:sz w:val="16"/>
      <w:szCs w:val="20"/>
    </w:rPr>
  </w:style>
  <w:style w:type="paragraph" w:customStyle="1" w:styleId="Text4">
    <w:name w:val="Text 4"/>
    <w:basedOn w:val="Normal"/>
    <w:rsid w:val="00272DF6"/>
    <w:pPr>
      <w:tabs>
        <w:tab w:val="left" w:pos="2161"/>
      </w:tabs>
      <w:spacing w:after="240"/>
      <w:ind w:left="1440"/>
      <w:jc w:val="both"/>
    </w:pPr>
    <w:rPr>
      <w:szCs w:val="20"/>
    </w:rPr>
  </w:style>
  <w:style w:type="paragraph" w:customStyle="1" w:styleId="box">
    <w:name w:val="box"/>
    <w:basedOn w:val="Normal"/>
    <w:rsid w:val="00272DF6"/>
    <w:pPr>
      <w:spacing w:before="120" w:after="120"/>
      <w:jc w:val="both"/>
    </w:pPr>
    <w:rPr>
      <w:sz w:val="32"/>
      <w:szCs w:val="20"/>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spacing w:before="120" w:after="120"/>
    </w:pPr>
    <w:rPr>
      <w:b/>
      <w:bCs/>
      <w:caps/>
      <w:sz w:val="20"/>
      <w:szCs w:val="20"/>
    </w:rPr>
  </w:style>
  <w:style w:type="paragraph" w:styleId="TOC2">
    <w:name w:val="toc 2"/>
    <w:basedOn w:val="Normal"/>
    <w:next w:val="Normal"/>
    <w:autoRedefine/>
    <w:uiPriority w:val="39"/>
    <w:semiHidden/>
    <w:rsid w:val="00272DF6"/>
    <w:pPr>
      <w:ind w:left="220"/>
    </w:pPr>
    <w:rPr>
      <w:smallCaps/>
      <w:sz w:val="20"/>
      <w:szCs w:val="20"/>
    </w:rPr>
  </w:style>
  <w:style w:type="paragraph" w:styleId="TOC3">
    <w:name w:val="toc 3"/>
    <w:basedOn w:val="Normal"/>
    <w:next w:val="Normal"/>
    <w:autoRedefine/>
    <w:uiPriority w:val="39"/>
    <w:semiHidden/>
    <w:rsid w:val="00272DF6"/>
    <w:pPr>
      <w:ind w:left="440"/>
    </w:pPr>
    <w:rPr>
      <w:i/>
      <w:iCs/>
      <w:sz w:val="20"/>
      <w:szCs w:val="20"/>
    </w:rPr>
  </w:style>
  <w:style w:type="paragraph" w:styleId="TOC4">
    <w:name w:val="toc 4"/>
    <w:basedOn w:val="Normal"/>
    <w:next w:val="Normal"/>
    <w:autoRedefine/>
    <w:uiPriority w:val="39"/>
    <w:semiHidden/>
    <w:rsid w:val="00272DF6"/>
    <w:pPr>
      <w:ind w:left="660"/>
    </w:pPr>
    <w:rPr>
      <w:sz w:val="18"/>
      <w:szCs w:val="18"/>
    </w:rPr>
  </w:style>
  <w:style w:type="paragraph" w:styleId="TOC5">
    <w:name w:val="toc 5"/>
    <w:basedOn w:val="Normal"/>
    <w:next w:val="Normal"/>
    <w:autoRedefine/>
    <w:uiPriority w:val="39"/>
    <w:semiHidden/>
    <w:rsid w:val="00272DF6"/>
    <w:pPr>
      <w:ind w:left="880"/>
    </w:pPr>
    <w:rPr>
      <w:sz w:val="18"/>
      <w:szCs w:val="18"/>
    </w:rPr>
  </w:style>
  <w:style w:type="paragraph" w:styleId="TOC6">
    <w:name w:val="toc 6"/>
    <w:basedOn w:val="Normal"/>
    <w:next w:val="Normal"/>
    <w:autoRedefine/>
    <w:uiPriority w:val="39"/>
    <w:semiHidden/>
    <w:rsid w:val="00272DF6"/>
    <w:pPr>
      <w:ind w:left="1100"/>
    </w:pPr>
    <w:rPr>
      <w:sz w:val="18"/>
      <w:szCs w:val="18"/>
    </w:rPr>
  </w:style>
  <w:style w:type="paragraph" w:styleId="TOC7">
    <w:name w:val="toc 7"/>
    <w:basedOn w:val="Normal"/>
    <w:next w:val="Normal"/>
    <w:autoRedefine/>
    <w:uiPriority w:val="39"/>
    <w:semiHidden/>
    <w:rsid w:val="00272DF6"/>
    <w:pPr>
      <w:ind w:left="1320"/>
    </w:pPr>
    <w:rPr>
      <w:sz w:val="18"/>
      <w:szCs w:val="18"/>
    </w:rPr>
  </w:style>
  <w:style w:type="paragraph" w:styleId="TOC8">
    <w:name w:val="toc 8"/>
    <w:basedOn w:val="Normal"/>
    <w:next w:val="Normal"/>
    <w:autoRedefine/>
    <w:uiPriority w:val="39"/>
    <w:semiHidden/>
    <w:rsid w:val="00272DF6"/>
    <w:pPr>
      <w:ind w:left="1540"/>
    </w:pPr>
    <w:rPr>
      <w:sz w:val="18"/>
      <w:szCs w:val="18"/>
    </w:rPr>
  </w:style>
  <w:style w:type="paragraph" w:styleId="TOC9">
    <w:name w:val="toc 9"/>
    <w:basedOn w:val="Normal"/>
    <w:next w:val="Normal"/>
    <w:autoRedefine/>
    <w:uiPriority w:val="39"/>
    <w:semiHidden/>
    <w:rsid w:val="00272DF6"/>
    <w:pPr>
      <w:ind w:left="1760"/>
    </w:pPr>
    <w:rPr>
      <w:sz w:val="18"/>
      <w:szCs w:val="18"/>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spacing w:after="240"/>
      <w:jc w:val="center"/>
    </w:pPr>
    <w:rPr>
      <w:rFonts w:ascii="Arial" w:hAnsi="Arial"/>
      <w:b/>
      <w:sz w:val="40"/>
      <w:szCs w:val="20"/>
    </w:rPr>
  </w:style>
  <w:style w:type="paragraph" w:styleId="Title">
    <w:name w:val="Title"/>
    <w:basedOn w:val="Normal"/>
    <w:next w:val="SubTitle1"/>
    <w:link w:val="TitleChar"/>
    <w:uiPriority w:val="10"/>
    <w:qFormat/>
    <w:rsid w:val="00272DF6"/>
    <w:pPr>
      <w:spacing w:after="480"/>
      <w:jc w:val="center"/>
    </w:pPr>
    <w:rPr>
      <w:rFonts w:ascii="Arial" w:hAnsi="Arial"/>
      <w:b/>
      <w:sz w:val="48"/>
      <w:szCs w:val="20"/>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jc w:val="both"/>
    </w:pPr>
    <w:rPr>
      <w:sz w:val="20"/>
      <w:szCs w:val="20"/>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ind w:left="357"/>
      <w:jc w:val="both"/>
    </w:pPr>
    <w:rPr>
      <w:szCs w:val="20"/>
    </w:rPr>
  </w:style>
  <w:style w:type="paragraph" w:customStyle="1" w:styleId="NaceInclusionsid2">
    <w:name w:val="Nace Inclusions id 2"/>
    <w:basedOn w:val="Normal"/>
    <w:rsid w:val="00272DF6"/>
    <w:pPr>
      <w:keepNext/>
      <w:keepLines/>
      <w:ind w:left="1191" w:hanging="170"/>
      <w:jc w:val="both"/>
    </w:pPr>
    <w:rPr>
      <w:rFonts w:ascii="Times" w:hAnsi="Times"/>
      <w:noProof/>
      <w:sz w:val="18"/>
      <w:szCs w:val="20"/>
    </w:rPr>
  </w:style>
  <w:style w:type="paragraph" w:customStyle="1" w:styleId="NaceInclusionsId11">
    <w:name w:val="Nace Inclusions Id 11"/>
    <w:basedOn w:val="Normal"/>
    <w:rsid w:val="00272DF6"/>
    <w:pPr>
      <w:keepNext/>
      <w:keepLines/>
      <w:ind w:left="1021" w:hanging="170"/>
      <w:jc w:val="both"/>
    </w:pPr>
    <w:rPr>
      <w:rFonts w:ascii="Times" w:hAnsi="Times"/>
      <w:noProof/>
      <w:sz w:val="18"/>
      <w:szCs w:val="20"/>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spacing w:before="240"/>
      <w:jc w:val="both"/>
    </w:pPr>
    <w:rPr>
      <w:rFonts w:ascii="Times" w:hAnsi="Times"/>
      <w:noProof/>
      <w:sz w:val="20"/>
      <w:szCs w:val="20"/>
    </w:rPr>
  </w:style>
  <w:style w:type="paragraph" w:styleId="EnvelopeAddress">
    <w:name w:val="envelope address"/>
    <w:basedOn w:val="Normal"/>
    <w:uiPriority w:val="99"/>
    <w:rsid w:val="00272DF6"/>
    <w:pPr>
      <w:framePr w:w="7920" w:h="1980" w:hRule="exact" w:hSpace="180" w:wrap="auto" w:hAnchor="page" w:xAlign="center" w:yAlign="bottom"/>
      <w:jc w:val="both"/>
    </w:pPr>
    <w:rPr>
      <w:szCs w:val="20"/>
    </w:rPr>
  </w:style>
  <w:style w:type="paragraph" w:customStyle="1" w:styleId="NumPar1">
    <w:name w:val="NumPar 1"/>
    <w:basedOn w:val="Heading1"/>
    <w:next w:val="Text1Char"/>
    <w:rsid w:val="00272DF6"/>
    <w:pPr>
      <w:spacing w:after="240"/>
      <w:ind w:left="483" w:hanging="483"/>
      <w:jc w:val="both"/>
      <w:outlineLvl w:val="9"/>
    </w:pPr>
    <w:rPr>
      <w:rFonts w:ascii="Times New Roman" w:hAnsi="Times New Roman"/>
      <w:sz w:val="24"/>
      <w:szCs w:val="20"/>
    </w:rPr>
  </w:style>
  <w:style w:type="paragraph" w:customStyle="1" w:styleId="NumPar2">
    <w:name w:val="NumPar 2"/>
    <w:basedOn w:val="Heading2"/>
    <w:next w:val="Text2"/>
    <w:rsid w:val="00272DF6"/>
    <w:pPr>
      <w:spacing w:after="240"/>
      <w:ind w:left="0"/>
      <w:jc w:val="both"/>
    </w:pPr>
    <w:rPr>
      <w:rFonts w:ascii="Times New Roman" w:hAnsi="Times New Roman"/>
      <w:sz w:val="24"/>
      <w:szCs w:val="20"/>
    </w:rPr>
  </w:style>
  <w:style w:type="paragraph" w:customStyle="1" w:styleId="Text2">
    <w:name w:val="Text 2"/>
    <w:basedOn w:val="Normal"/>
    <w:rsid w:val="00272DF6"/>
    <w:pPr>
      <w:tabs>
        <w:tab w:val="left" w:pos="2161"/>
      </w:tabs>
      <w:spacing w:after="240"/>
      <w:ind w:left="1077"/>
      <w:jc w:val="both"/>
    </w:pPr>
    <w:rPr>
      <w:szCs w:val="20"/>
    </w:rPr>
  </w:style>
  <w:style w:type="paragraph" w:customStyle="1" w:styleId="n4">
    <w:name w:val="n4"/>
    <w:basedOn w:val="Heading4"/>
    <w:rsid w:val="00272DF6"/>
    <w:pPr>
      <w:keepNext/>
      <w:spacing w:before="120" w:after="120"/>
      <w:ind w:left="720"/>
      <w:jc w:val="both"/>
    </w:pPr>
    <w:rPr>
      <w:rFonts w:ascii="Times New Roman" w:hAnsi="Times New Roman"/>
      <w:sz w:val="22"/>
      <w:szCs w:val="20"/>
    </w:rPr>
  </w:style>
  <w:style w:type="paragraph" w:styleId="DocumentMap">
    <w:name w:val="Document Map"/>
    <w:basedOn w:val="Normal"/>
    <w:link w:val="DocumentMapChar"/>
    <w:uiPriority w:val="99"/>
    <w:semiHidden/>
    <w:rsid w:val="00272DF6"/>
    <w:pPr>
      <w:shd w:val="clear" w:color="auto" w:fill="000080"/>
      <w:jc w:val="both"/>
    </w:pPr>
    <w:rPr>
      <w:rFonts w:ascii="Tahoma" w:hAnsi="Tahoma"/>
      <w:szCs w:val="20"/>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spacing w:before="720" w:after="720"/>
      <w:jc w:val="center"/>
    </w:pPr>
    <w:rPr>
      <w:b/>
      <w:smallCaps/>
      <w:szCs w:val="20"/>
    </w:rPr>
  </w:style>
  <w:style w:type="paragraph" w:styleId="Index1">
    <w:name w:val="index 1"/>
    <w:basedOn w:val="Normal"/>
    <w:next w:val="Normal"/>
    <w:autoRedefine/>
    <w:uiPriority w:val="99"/>
    <w:semiHidden/>
    <w:rsid w:val="00272DF6"/>
    <w:rPr>
      <w:rFonts w:ascii="Arial" w:hAnsi="Arial" w:cs="Arial"/>
      <w:b/>
      <w:noProof/>
      <w:sz w:val="20"/>
      <w:szCs w:val="20"/>
    </w:rPr>
  </w:style>
  <w:style w:type="paragraph" w:styleId="Index2">
    <w:name w:val="index 2"/>
    <w:basedOn w:val="Normal"/>
    <w:next w:val="Normal"/>
    <w:autoRedefine/>
    <w:uiPriority w:val="99"/>
    <w:semiHidden/>
    <w:rsid w:val="00272DF6"/>
    <w:pPr>
      <w:ind w:left="440" w:hanging="220"/>
    </w:pPr>
    <w:rPr>
      <w:sz w:val="18"/>
      <w:szCs w:val="18"/>
    </w:rPr>
  </w:style>
  <w:style w:type="paragraph" w:styleId="Index3">
    <w:name w:val="index 3"/>
    <w:basedOn w:val="Normal"/>
    <w:next w:val="Normal"/>
    <w:autoRedefine/>
    <w:uiPriority w:val="99"/>
    <w:semiHidden/>
    <w:rsid w:val="00272DF6"/>
    <w:pPr>
      <w:ind w:left="660" w:hanging="220"/>
    </w:pPr>
    <w:rPr>
      <w:sz w:val="18"/>
      <w:szCs w:val="18"/>
    </w:rPr>
  </w:style>
  <w:style w:type="paragraph" w:styleId="Index4">
    <w:name w:val="index 4"/>
    <w:basedOn w:val="Normal"/>
    <w:next w:val="Normal"/>
    <w:autoRedefine/>
    <w:uiPriority w:val="99"/>
    <w:semiHidden/>
    <w:rsid w:val="00272DF6"/>
    <w:pPr>
      <w:ind w:left="880" w:hanging="220"/>
    </w:pPr>
    <w:rPr>
      <w:sz w:val="18"/>
      <w:szCs w:val="18"/>
    </w:rPr>
  </w:style>
  <w:style w:type="paragraph" w:styleId="Index5">
    <w:name w:val="index 5"/>
    <w:basedOn w:val="Normal"/>
    <w:next w:val="Normal"/>
    <w:autoRedefine/>
    <w:uiPriority w:val="99"/>
    <w:semiHidden/>
    <w:rsid w:val="00272DF6"/>
    <w:pPr>
      <w:ind w:left="1100" w:hanging="220"/>
    </w:pPr>
    <w:rPr>
      <w:sz w:val="18"/>
      <w:szCs w:val="18"/>
    </w:rPr>
  </w:style>
  <w:style w:type="paragraph" w:styleId="Index6">
    <w:name w:val="index 6"/>
    <w:basedOn w:val="Normal"/>
    <w:next w:val="Normal"/>
    <w:autoRedefine/>
    <w:uiPriority w:val="99"/>
    <w:semiHidden/>
    <w:rsid w:val="00272DF6"/>
    <w:pPr>
      <w:ind w:left="1320" w:hanging="220"/>
    </w:pPr>
    <w:rPr>
      <w:sz w:val="18"/>
      <w:szCs w:val="18"/>
    </w:rPr>
  </w:style>
  <w:style w:type="paragraph" w:styleId="Index7">
    <w:name w:val="index 7"/>
    <w:basedOn w:val="Normal"/>
    <w:next w:val="Normal"/>
    <w:autoRedefine/>
    <w:uiPriority w:val="99"/>
    <w:semiHidden/>
    <w:rsid w:val="00272DF6"/>
    <w:pPr>
      <w:ind w:left="1540" w:hanging="220"/>
    </w:pPr>
    <w:rPr>
      <w:sz w:val="18"/>
      <w:szCs w:val="18"/>
    </w:rPr>
  </w:style>
  <w:style w:type="paragraph" w:styleId="Index8">
    <w:name w:val="index 8"/>
    <w:basedOn w:val="Normal"/>
    <w:next w:val="Normal"/>
    <w:autoRedefine/>
    <w:uiPriority w:val="99"/>
    <w:semiHidden/>
    <w:rsid w:val="00272DF6"/>
    <w:pPr>
      <w:ind w:left="1760" w:hanging="220"/>
    </w:pPr>
    <w:rPr>
      <w:sz w:val="18"/>
      <w:szCs w:val="18"/>
    </w:rPr>
  </w:style>
  <w:style w:type="paragraph" w:styleId="Index9">
    <w:name w:val="index 9"/>
    <w:basedOn w:val="Normal"/>
    <w:next w:val="Normal"/>
    <w:autoRedefine/>
    <w:uiPriority w:val="99"/>
    <w:semiHidden/>
    <w:rsid w:val="00272DF6"/>
    <w:pPr>
      <w:ind w:left="1980" w:hanging="220"/>
    </w:pPr>
    <w:rPr>
      <w:sz w:val="18"/>
      <w:szCs w:val="18"/>
    </w:rPr>
  </w:style>
  <w:style w:type="paragraph" w:styleId="IndexHeading">
    <w:name w:val="index heading"/>
    <w:basedOn w:val="Normal"/>
    <w:next w:val="Index1"/>
    <w:uiPriority w:val="99"/>
    <w:semiHidden/>
    <w:rsid w:val="00272DF6"/>
    <w:pPr>
      <w:spacing w:before="240" w:after="120"/>
      <w:ind w:left="140"/>
    </w:pPr>
    <w:rPr>
      <w:rFonts w:ascii="Arial" w:hAnsi="Arial" w:cs="Arial"/>
      <w:b/>
      <w:bCs/>
      <w:sz w:val="28"/>
      <w:szCs w:val="28"/>
    </w:rPr>
  </w:style>
  <w:style w:type="paragraph" w:customStyle="1" w:styleId="Subject">
    <w:name w:val="Subject"/>
    <w:basedOn w:val="Normal"/>
    <w:next w:val="Normal"/>
    <w:rsid w:val="00272DF6"/>
    <w:pPr>
      <w:spacing w:after="480"/>
      <w:ind w:left="1191" w:hanging="1191"/>
    </w:pPr>
    <w:rPr>
      <w:b/>
      <w:szCs w:val="20"/>
    </w:rPr>
  </w:style>
  <w:style w:type="paragraph" w:styleId="Signature">
    <w:name w:val="Signature"/>
    <w:basedOn w:val="Normal"/>
    <w:next w:val="Normal"/>
    <w:link w:val="SignatureChar"/>
    <w:uiPriority w:val="99"/>
    <w:rsid w:val="00272DF6"/>
    <w:pPr>
      <w:tabs>
        <w:tab w:val="left" w:pos="5103"/>
      </w:tabs>
      <w:spacing w:before="1200"/>
      <w:ind w:left="5103"/>
      <w:jc w:val="center"/>
    </w:pPr>
    <w:rPr>
      <w:szCs w:val="20"/>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tabs>
        <w:tab w:val="left" w:pos="5642"/>
      </w:tabs>
      <w:spacing w:before="480"/>
      <w:ind w:left="1191" w:hanging="1191"/>
    </w:pPr>
    <w:rPr>
      <w:szCs w:val="20"/>
    </w:rPr>
  </w:style>
  <w:style w:type="paragraph" w:customStyle="1" w:styleId="Tiret0">
    <w:name w:val="Tiret 0"/>
    <w:basedOn w:val="Normal"/>
    <w:rsid w:val="00272DF6"/>
    <w:pPr>
      <w:spacing w:before="120" w:after="120"/>
      <w:ind w:left="851" w:hanging="851"/>
      <w:jc w:val="both"/>
    </w:pPr>
    <w:rPr>
      <w:szCs w:val="20"/>
    </w:rPr>
  </w:style>
  <w:style w:type="paragraph" w:customStyle="1" w:styleId="numparg">
    <w:name w:val="numparg"/>
    <w:basedOn w:val="Heading1"/>
    <w:rsid w:val="00272DF6"/>
    <w:pPr>
      <w:keepNext/>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spacing w:after="240"/>
      <w:jc w:val="both"/>
    </w:pPr>
    <w:rPr>
      <w:szCs w:val="20"/>
    </w:rPr>
  </w:style>
  <w:style w:type="paragraph" w:customStyle="1" w:styleId="Point0">
    <w:name w:val="Point 0"/>
    <w:basedOn w:val="Normal"/>
    <w:link w:val="Point0Char"/>
    <w:rsid w:val="00272DF6"/>
    <w:pPr>
      <w:spacing w:before="120" w:after="120"/>
      <w:ind w:left="850" w:hanging="850"/>
      <w:jc w:val="both"/>
    </w:pPr>
    <w:rPr>
      <w:szCs w:val="20"/>
      <w:lang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rPr>
      <w:lang w:val="pl-PL" w:eastAsia="pl-PL"/>
    </w:rPr>
  </w:style>
  <w:style w:type="paragraph" w:customStyle="1" w:styleId="CharCharChar">
    <w:name w:val="Char Char Char"/>
    <w:basedOn w:val="Normal"/>
    <w:rsid w:val="00272DF6"/>
    <w:rPr>
      <w:lang w:val="pl-PL" w:eastAsia="pl-PL"/>
    </w:rPr>
  </w:style>
  <w:style w:type="paragraph" w:customStyle="1" w:styleId="Point1">
    <w:name w:val="Point 1"/>
    <w:basedOn w:val="Normal"/>
    <w:link w:val="Point1Char"/>
    <w:rsid w:val="00272DF6"/>
    <w:pPr>
      <w:spacing w:before="120" w:after="120"/>
      <w:ind w:left="1418" w:hanging="567"/>
      <w:jc w:val="both"/>
    </w:pPr>
    <w:rPr>
      <w:lang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noProof/>
      <w:szCs w:val="20"/>
    </w:rPr>
  </w:style>
  <w:style w:type="paragraph" w:customStyle="1" w:styleId="Numberedparagraph">
    <w:name w:val="Numbered paragraph"/>
    <w:basedOn w:val="Normal"/>
    <w:rsid w:val="00272DF6"/>
    <w:pPr>
      <w:numPr>
        <w:numId w:val="13"/>
      </w:numPr>
      <w:spacing w:before="240"/>
      <w:ind w:left="357" w:hanging="357"/>
    </w:pPr>
    <w:rPr>
      <w:rFonts w:ascii="Arial" w:hAnsi="Arial"/>
      <w:b/>
      <w:szCs w:val="20"/>
    </w:rPr>
  </w:style>
  <w:style w:type="paragraph" w:customStyle="1" w:styleId="Char">
    <w:name w:val="Char"/>
    <w:basedOn w:val="Normal"/>
    <w:rsid w:val="00272DF6"/>
    <w:rPr>
      <w:lang w:val="pl-PL" w:eastAsia="pl-PL"/>
    </w:rPr>
  </w:style>
  <w:style w:type="paragraph" w:customStyle="1" w:styleId="QuotedText">
    <w:name w:val="Quoted Text"/>
    <w:basedOn w:val="Normal"/>
    <w:rsid w:val="00272DF6"/>
    <w:pPr>
      <w:spacing w:before="120" w:after="120" w:line="360" w:lineRule="auto"/>
      <w:ind w:left="1417"/>
    </w:pPr>
    <w:rPr>
      <w:szCs w:val="20"/>
    </w:rPr>
  </w:style>
  <w:style w:type="paragraph" w:customStyle="1" w:styleId="ManualNumPar1">
    <w:name w:val="Manual NumPar 1"/>
    <w:basedOn w:val="Normal"/>
    <w:next w:val="Text1Char"/>
    <w:link w:val="ManualNumPar1Char"/>
    <w:rsid w:val="00272DF6"/>
    <w:pPr>
      <w:spacing w:before="120" w:after="120"/>
      <w:ind w:left="850" w:hanging="850"/>
      <w:jc w:val="both"/>
    </w:pPr>
    <w:rPr>
      <w:lang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spacing w:after="240"/>
      <w:ind w:left="482"/>
      <w:jc w:val="both"/>
    </w:pPr>
    <w:rPr>
      <w:szCs w:val="20"/>
    </w:rPr>
  </w:style>
  <w:style w:type="paragraph" w:styleId="ListNumber">
    <w:name w:val="List Number"/>
    <w:basedOn w:val="Normal"/>
    <w:uiPriority w:val="99"/>
    <w:rsid w:val="00272DF6"/>
    <w:pPr>
      <w:numPr>
        <w:numId w:val="14"/>
      </w:numPr>
      <w:spacing w:before="120" w:after="120" w:line="360" w:lineRule="auto"/>
    </w:pPr>
    <w:rPr>
      <w:szCs w:val="20"/>
    </w:rPr>
  </w:style>
  <w:style w:type="paragraph" w:customStyle="1" w:styleId="ListNumberLevel2">
    <w:name w:val="List Number (Level 2)"/>
    <w:basedOn w:val="Normal"/>
    <w:link w:val="ListNumberLevel2Char"/>
    <w:rsid w:val="00272DF6"/>
    <w:pPr>
      <w:numPr>
        <w:ilvl w:val="1"/>
        <w:numId w:val="14"/>
      </w:numPr>
      <w:spacing w:before="120" w:after="120" w:line="360" w:lineRule="auto"/>
    </w:pPr>
    <w:rPr>
      <w:szCs w:val="20"/>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numPr>
        <w:ilvl w:val="2"/>
        <w:numId w:val="14"/>
      </w:numPr>
      <w:spacing w:before="120" w:after="120" w:line="360" w:lineRule="auto"/>
    </w:pPr>
    <w:rPr>
      <w:szCs w:val="20"/>
    </w:rPr>
  </w:style>
  <w:style w:type="paragraph" w:customStyle="1" w:styleId="ListNumberLevel4">
    <w:name w:val="List Number (Level 4)"/>
    <w:basedOn w:val="Normal"/>
    <w:rsid w:val="00272DF6"/>
    <w:pPr>
      <w:tabs>
        <w:tab w:val="num" w:pos="2835"/>
      </w:tabs>
      <w:spacing w:before="120" w:after="120" w:line="360" w:lineRule="auto"/>
      <w:ind w:left="2835" w:hanging="709"/>
    </w:pPr>
    <w:rPr>
      <w:szCs w:val="20"/>
    </w:rPr>
  </w:style>
  <w:style w:type="paragraph" w:customStyle="1" w:styleId="Normal1">
    <w:name w:val="Normal1"/>
    <w:basedOn w:val="Normal"/>
    <w:rsid w:val="00272DF6"/>
    <w:pPr>
      <w:spacing w:after="120" w:line="360" w:lineRule="atLeast"/>
    </w:pPr>
    <w:rPr>
      <w:sz w:val="26"/>
      <w:szCs w:val="26"/>
    </w:rPr>
  </w:style>
  <w:style w:type="paragraph" w:customStyle="1" w:styleId="CharCharChar1Char1">
    <w:name w:val="Char Char Char1 Char1"/>
    <w:aliases w:val="Char Char Char1 Char Char Char1"/>
    <w:basedOn w:val="Normal"/>
    <w:rsid w:val="00272DF6"/>
    <w:rPr>
      <w:lang w:val="pl-PL" w:eastAsia="pl-PL"/>
    </w:rPr>
  </w:style>
  <w:style w:type="paragraph" w:customStyle="1" w:styleId="ZchnZchn">
    <w:name w:val="Zchn Zchn"/>
    <w:basedOn w:val="Normal"/>
    <w:rsid w:val="00272DF6"/>
    <w:pPr>
      <w:numPr>
        <w:numId w:val="15"/>
      </w:numPr>
      <w:spacing w:after="160" w:line="240" w:lineRule="exact"/>
    </w:pPr>
    <w:rPr>
      <w:i/>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ind w:left="720"/>
    </w:p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ind w:left="720" w:hanging="720"/>
      <w:jc w:val="both"/>
    </w:pPr>
    <w:rPr>
      <w:b/>
      <w:sz w:val="20"/>
      <w:szCs w:val="20"/>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spacing w:before="100" w:beforeAutospacing="1" w:after="100" w:afterAutospacing="1"/>
    </w:pPr>
    <w:rPr>
      <w:lang w:val="fr-BE" w:eastAsia="fr-BE"/>
    </w:rPr>
  </w:style>
  <w:style w:type="paragraph" w:customStyle="1" w:styleId="Tags">
    <w:name w:val="Tags"/>
    <w:basedOn w:val="Normal"/>
    <w:link w:val="TagsChar"/>
    <w:qFormat/>
    <w:rsid w:val="00861191"/>
    <w:pPr>
      <w:spacing w:after="200"/>
    </w:pPr>
    <w:rPr>
      <w:rFonts w:ascii="Arial" w:hAnsi="Arial" w:cs="Arial"/>
      <w:color w:val="B5B5B5"/>
      <w:sz w:val="16"/>
      <w:szCs w:val="16"/>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CE5F1C"/>
    <w:rPr>
      <w:b/>
      <w:bCs/>
    </w:rPr>
  </w:style>
  <w:style w:type="character" w:customStyle="1" w:styleId="CommentSubjectChar1">
    <w:name w:val="Comment Subject Char1"/>
    <w:basedOn w:val="CommentTextChar1"/>
    <w:link w:val="CommentSubject"/>
    <w:uiPriority w:val="99"/>
    <w:semiHidden/>
    <w:rsid w:val="00CE5F1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27222">
      <w:marLeft w:val="0"/>
      <w:marRight w:val="0"/>
      <w:marTop w:val="0"/>
      <w:marBottom w:val="0"/>
      <w:divBdr>
        <w:top w:val="none" w:sz="0" w:space="0" w:color="auto"/>
        <w:left w:val="none" w:sz="0" w:space="0" w:color="auto"/>
        <w:bottom w:val="none" w:sz="0" w:space="0" w:color="auto"/>
        <w:right w:val="none" w:sz="0" w:space="0" w:color="auto"/>
      </w:divBdr>
      <w:divsChild>
        <w:div w:id="1872527243">
          <w:marLeft w:val="0"/>
          <w:marRight w:val="0"/>
          <w:marTop w:val="0"/>
          <w:marBottom w:val="0"/>
          <w:divBdr>
            <w:top w:val="none" w:sz="0" w:space="0" w:color="auto"/>
            <w:left w:val="none" w:sz="0" w:space="0" w:color="auto"/>
            <w:bottom w:val="none" w:sz="0" w:space="0" w:color="auto"/>
            <w:right w:val="none" w:sz="0" w:space="0" w:color="auto"/>
          </w:divBdr>
        </w:div>
        <w:div w:id="1872527251">
          <w:marLeft w:val="0"/>
          <w:marRight w:val="0"/>
          <w:marTop w:val="0"/>
          <w:marBottom w:val="0"/>
          <w:divBdr>
            <w:top w:val="none" w:sz="0" w:space="0" w:color="auto"/>
            <w:left w:val="none" w:sz="0" w:space="0" w:color="auto"/>
            <w:bottom w:val="none" w:sz="0" w:space="0" w:color="auto"/>
            <w:right w:val="none" w:sz="0" w:space="0" w:color="auto"/>
          </w:divBdr>
        </w:div>
      </w:divsChild>
    </w:div>
    <w:div w:id="1872527223">
      <w:marLeft w:val="0"/>
      <w:marRight w:val="0"/>
      <w:marTop w:val="0"/>
      <w:marBottom w:val="0"/>
      <w:divBdr>
        <w:top w:val="none" w:sz="0" w:space="0" w:color="auto"/>
        <w:left w:val="none" w:sz="0" w:space="0" w:color="auto"/>
        <w:bottom w:val="none" w:sz="0" w:space="0" w:color="auto"/>
        <w:right w:val="none" w:sz="0" w:space="0" w:color="auto"/>
      </w:divBdr>
    </w:div>
    <w:div w:id="1872527224">
      <w:marLeft w:val="0"/>
      <w:marRight w:val="0"/>
      <w:marTop w:val="0"/>
      <w:marBottom w:val="0"/>
      <w:divBdr>
        <w:top w:val="none" w:sz="0" w:space="0" w:color="auto"/>
        <w:left w:val="none" w:sz="0" w:space="0" w:color="auto"/>
        <w:bottom w:val="none" w:sz="0" w:space="0" w:color="auto"/>
        <w:right w:val="none" w:sz="0" w:space="0" w:color="auto"/>
      </w:divBdr>
    </w:div>
    <w:div w:id="1872527225">
      <w:marLeft w:val="0"/>
      <w:marRight w:val="0"/>
      <w:marTop w:val="0"/>
      <w:marBottom w:val="0"/>
      <w:divBdr>
        <w:top w:val="none" w:sz="0" w:space="0" w:color="auto"/>
        <w:left w:val="none" w:sz="0" w:space="0" w:color="auto"/>
        <w:bottom w:val="none" w:sz="0" w:space="0" w:color="auto"/>
        <w:right w:val="none" w:sz="0" w:space="0" w:color="auto"/>
      </w:divBdr>
    </w:div>
    <w:div w:id="1872527226">
      <w:marLeft w:val="0"/>
      <w:marRight w:val="0"/>
      <w:marTop w:val="0"/>
      <w:marBottom w:val="0"/>
      <w:divBdr>
        <w:top w:val="none" w:sz="0" w:space="0" w:color="auto"/>
        <w:left w:val="none" w:sz="0" w:space="0" w:color="auto"/>
        <w:bottom w:val="none" w:sz="0" w:space="0" w:color="auto"/>
        <w:right w:val="none" w:sz="0" w:space="0" w:color="auto"/>
      </w:divBdr>
    </w:div>
    <w:div w:id="1872527227">
      <w:marLeft w:val="0"/>
      <w:marRight w:val="0"/>
      <w:marTop w:val="0"/>
      <w:marBottom w:val="0"/>
      <w:divBdr>
        <w:top w:val="none" w:sz="0" w:space="0" w:color="auto"/>
        <w:left w:val="none" w:sz="0" w:space="0" w:color="auto"/>
        <w:bottom w:val="none" w:sz="0" w:space="0" w:color="auto"/>
        <w:right w:val="none" w:sz="0" w:space="0" w:color="auto"/>
      </w:divBdr>
    </w:div>
    <w:div w:id="1872527228">
      <w:marLeft w:val="0"/>
      <w:marRight w:val="0"/>
      <w:marTop w:val="0"/>
      <w:marBottom w:val="0"/>
      <w:divBdr>
        <w:top w:val="none" w:sz="0" w:space="0" w:color="auto"/>
        <w:left w:val="none" w:sz="0" w:space="0" w:color="auto"/>
        <w:bottom w:val="none" w:sz="0" w:space="0" w:color="auto"/>
        <w:right w:val="none" w:sz="0" w:space="0" w:color="auto"/>
      </w:divBdr>
    </w:div>
    <w:div w:id="1872527229">
      <w:marLeft w:val="0"/>
      <w:marRight w:val="0"/>
      <w:marTop w:val="0"/>
      <w:marBottom w:val="0"/>
      <w:divBdr>
        <w:top w:val="none" w:sz="0" w:space="0" w:color="auto"/>
        <w:left w:val="none" w:sz="0" w:space="0" w:color="auto"/>
        <w:bottom w:val="none" w:sz="0" w:space="0" w:color="auto"/>
        <w:right w:val="none" w:sz="0" w:space="0" w:color="auto"/>
      </w:divBdr>
    </w:div>
    <w:div w:id="1872527230">
      <w:marLeft w:val="0"/>
      <w:marRight w:val="0"/>
      <w:marTop w:val="0"/>
      <w:marBottom w:val="0"/>
      <w:divBdr>
        <w:top w:val="none" w:sz="0" w:space="0" w:color="auto"/>
        <w:left w:val="none" w:sz="0" w:space="0" w:color="auto"/>
        <w:bottom w:val="none" w:sz="0" w:space="0" w:color="auto"/>
        <w:right w:val="none" w:sz="0" w:space="0" w:color="auto"/>
      </w:divBdr>
    </w:div>
    <w:div w:id="1872527231">
      <w:marLeft w:val="0"/>
      <w:marRight w:val="0"/>
      <w:marTop w:val="0"/>
      <w:marBottom w:val="0"/>
      <w:divBdr>
        <w:top w:val="none" w:sz="0" w:space="0" w:color="auto"/>
        <w:left w:val="none" w:sz="0" w:space="0" w:color="auto"/>
        <w:bottom w:val="none" w:sz="0" w:space="0" w:color="auto"/>
        <w:right w:val="none" w:sz="0" w:space="0" w:color="auto"/>
      </w:divBdr>
    </w:div>
    <w:div w:id="1872527232">
      <w:marLeft w:val="0"/>
      <w:marRight w:val="0"/>
      <w:marTop w:val="0"/>
      <w:marBottom w:val="0"/>
      <w:divBdr>
        <w:top w:val="none" w:sz="0" w:space="0" w:color="auto"/>
        <w:left w:val="none" w:sz="0" w:space="0" w:color="auto"/>
        <w:bottom w:val="none" w:sz="0" w:space="0" w:color="auto"/>
        <w:right w:val="none" w:sz="0" w:space="0" w:color="auto"/>
      </w:divBdr>
    </w:div>
    <w:div w:id="1872527233">
      <w:marLeft w:val="0"/>
      <w:marRight w:val="0"/>
      <w:marTop w:val="0"/>
      <w:marBottom w:val="0"/>
      <w:divBdr>
        <w:top w:val="none" w:sz="0" w:space="0" w:color="auto"/>
        <w:left w:val="none" w:sz="0" w:space="0" w:color="auto"/>
        <w:bottom w:val="none" w:sz="0" w:space="0" w:color="auto"/>
        <w:right w:val="none" w:sz="0" w:space="0" w:color="auto"/>
      </w:divBdr>
    </w:div>
    <w:div w:id="1872527234">
      <w:marLeft w:val="0"/>
      <w:marRight w:val="0"/>
      <w:marTop w:val="0"/>
      <w:marBottom w:val="0"/>
      <w:divBdr>
        <w:top w:val="none" w:sz="0" w:space="0" w:color="auto"/>
        <w:left w:val="none" w:sz="0" w:space="0" w:color="auto"/>
        <w:bottom w:val="none" w:sz="0" w:space="0" w:color="auto"/>
        <w:right w:val="none" w:sz="0" w:space="0" w:color="auto"/>
      </w:divBdr>
    </w:div>
    <w:div w:id="1872527235">
      <w:marLeft w:val="0"/>
      <w:marRight w:val="0"/>
      <w:marTop w:val="0"/>
      <w:marBottom w:val="0"/>
      <w:divBdr>
        <w:top w:val="none" w:sz="0" w:space="0" w:color="auto"/>
        <w:left w:val="none" w:sz="0" w:space="0" w:color="auto"/>
        <w:bottom w:val="none" w:sz="0" w:space="0" w:color="auto"/>
        <w:right w:val="none" w:sz="0" w:space="0" w:color="auto"/>
      </w:divBdr>
      <w:divsChild>
        <w:div w:id="1872527238">
          <w:marLeft w:val="0"/>
          <w:marRight w:val="0"/>
          <w:marTop w:val="0"/>
          <w:marBottom w:val="0"/>
          <w:divBdr>
            <w:top w:val="none" w:sz="0" w:space="0" w:color="auto"/>
            <w:left w:val="none" w:sz="0" w:space="0" w:color="auto"/>
            <w:bottom w:val="none" w:sz="0" w:space="0" w:color="auto"/>
            <w:right w:val="none" w:sz="0" w:space="0" w:color="auto"/>
          </w:divBdr>
        </w:div>
        <w:div w:id="1872527244">
          <w:marLeft w:val="0"/>
          <w:marRight w:val="0"/>
          <w:marTop w:val="0"/>
          <w:marBottom w:val="0"/>
          <w:divBdr>
            <w:top w:val="none" w:sz="0" w:space="0" w:color="auto"/>
            <w:left w:val="none" w:sz="0" w:space="0" w:color="auto"/>
            <w:bottom w:val="none" w:sz="0" w:space="0" w:color="auto"/>
            <w:right w:val="none" w:sz="0" w:space="0" w:color="auto"/>
          </w:divBdr>
        </w:div>
        <w:div w:id="1872527249">
          <w:marLeft w:val="0"/>
          <w:marRight w:val="0"/>
          <w:marTop w:val="0"/>
          <w:marBottom w:val="0"/>
          <w:divBdr>
            <w:top w:val="none" w:sz="0" w:space="0" w:color="auto"/>
            <w:left w:val="none" w:sz="0" w:space="0" w:color="auto"/>
            <w:bottom w:val="none" w:sz="0" w:space="0" w:color="auto"/>
            <w:right w:val="none" w:sz="0" w:space="0" w:color="auto"/>
          </w:divBdr>
        </w:div>
      </w:divsChild>
    </w:div>
    <w:div w:id="1872527236">
      <w:marLeft w:val="0"/>
      <w:marRight w:val="0"/>
      <w:marTop w:val="0"/>
      <w:marBottom w:val="0"/>
      <w:divBdr>
        <w:top w:val="none" w:sz="0" w:space="0" w:color="auto"/>
        <w:left w:val="none" w:sz="0" w:space="0" w:color="auto"/>
        <w:bottom w:val="none" w:sz="0" w:space="0" w:color="auto"/>
        <w:right w:val="none" w:sz="0" w:space="0" w:color="auto"/>
      </w:divBdr>
      <w:divsChild>
        <w:div w:id="1872527240">
          <w:marLeft w:val="0"/>
          <w:marRight w:val="0"/>
          <w:marTop w:val="0"/>
          <w:marBottom w:val="0"/>
          <w:divBdr>
            <w:top w:val="none" w:sz="0" w:space="0" w:color="auto"/>
            <w:left w:val="none" w:sz="0" w:space="0" w:color="auto"/>
            <w:bottom w:val="none" w:sz="0" w:space="0" w:color="auto"/>
            <w:right w:val="none" w:sz="0" w:space="0" w:color="auto"/>
          </w:divBdr>
          <w:divsChild>
            <w:div w:id="1872527241">
              <w:marLeft w:val="0"/>
              <w:marRight w:val="0"/>
              <w:marTop w:val="0"/>
              <w:marBottom w:val="0"/>
              <w:divBdr>
                <w:top w:val="none" w:sz="0" w:space="0" w:color="auto"/>
                <w:left w:val="none" w:sz="0" w:space="0" w:color="auto"/>
                <w:bottom w:val="none" w:sz="0" w:space="0" w:color="auto"/>
                <w:right w:val="none" w:sz="0" w:space="0" w:color="auto"/>
              </w:divBdr>
            </w:div>
            <w:div w:id="1872527247">
              <w:marLeft w:val="0"/>
              <w:marRight w:val="0"/>
              <w:marTop w:val="0"/>
              <w:marBottom w:val="0"/>
              <w:divBdr>
                <w:top w:val="none" w:sz="0" w:space="0" w:color="auto"/>
                <w:left w:val="none" w:sz="0" w:space="0" w:color="auto"/>
                <w:bottom w:val="none" w:sz="0" w:space="0" w:color="auto"/>
                <w:right w:val="none" w:sz="0" w:space="0" w:color="auto"/>
              </w:divBdr>
            </w:div>
          </w:divsChild>
        </w:div>
        <w:div w:id="1872527248">
          <w:marLeft w:val="0"/>
          <w:marRight w:val="0"/>
          <w:marTop w:val="0"/>
          <w:marBottom w:val="0"/>
          <w:divBdr>
            <w:top w:val="none" w:sz="0" w:space="0" w:color="auto"/>
            <w:left w:val="none" w:sz="0" w:space="0" w:color="auto"/>
            <w:bottom w:val="none" w:sz="0" w:space="0" w:color="auto"/>
            <w:right w:val="none" w:sz="0" w:space="0" w:color="auto"/>
          </w:divBdr>
          <w:divsChild>
            <w:div w:id="1872527239">
              <w:marLeft w:val="0"/>
              <w:marRight w:val="0"/>
              <w:marTop w:val="0"/>
              <w:marBottom w:val="0"/>
              <w:divBdr>
                <w:top w:val="none" w:sz="0" w:space="0" w:color="auto"/>
                <w:left w:val="none" w:sz="0" w:space="0" w:color="auto"/>
                <w:bottom w:val="none" w:sz="0" w:space="0" w:color="auto"/>
                <w:right w:val="none" w:sz="0" w:space="0" w:color="auto"/>
              </w:divBdr>
            </w:div>
            <w:div w:id="187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7237">
      <w:marLeft w:val="0"/>
      <w:marRight w:val="0"/>
      <w:marTop w:val="0"/>
      <w:marBottom w:val="0"/>
      <w:divBdr>
        <w:top w:val="none" w:sz="0" w:space="0" w:color="auto"/>
        <w:left w:val="none" w:sz="0" w:space="0" w:color="auto"/>
        <w:bottom w:val="none" w:sz="0" w:space="0" w:color="auto"/>
        <w:right w:val="none" w:sz="0" w:space="0" w:color="auto"/>
      </w:divBdr>
      <w:divsChild>
        <w:div w:id="1872527245">
          <w:marLeft w:val="0"/>
          <w:marRight w:val="0"/>
          <w:marTop w:val="0"/>
          <w:marBottom w:val="0"/>
          <w:divBdr>
            <w:top w:val="none" w:sz="0" w:space="0" w:color="auto"/>
            <w:left w:val="none" w:sz="0" w:space="0" w:color="auto"/>
            <w:bottom w:val="none" w:sz="0" w:space="0" w:color="auto"/>
            <w:right w:val="none" w:sz="0" w:space="0" w:color="auto"/>
          </w:divBdr>
        </w:div>
        <w:div w:id="1872527250">
          <w:marLeft w:val="0"/>
          <w:marRight w:val="0"/>
          <w:marTop w:val="0"/>
          <w:marBottom w:val="0"/>
          <w:divBdr>
            <w:top w:val="none" w:sz="0" w:space="0" w:color="auto"/>
            <w:left w:val="none" w:sz="0" w:space="0" w:color="auto"/>
            <w:bottom w:val="none" w:sz="0" w:space="0" w:color="auto"/>
            <w:right w:val="none" w:sz="0" w:space="0" w:color="auto"/>
          </w:divBdr>
        </w:div>
        <w:div w:id="1872527252">
          <w:marLeft w:val="0"/>
          <w:marRight w:val="0"/>
          <w:marTop w:val="0"/>
          <w:marBottom w:val="0"/>
          <w:divBdr>
            <w:top w:val="none" w:sz="0" w:space="0" w:color="auto"/>
            <w:left w:val="none" w:sz="0" w:space="0" w:color="auto"/>
            <w:bottom w:val="none" w:sz="0" w:space="0" w:color="auto"/>
            <w:right w:val="none" w:sz="0" w:space="0" w:color="auto"/>
          </w:divBdr>
        </w:div>
      </w:divsChild>
    </w:div>
    <w:div w:id="1872527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dn.who.int/media/docs/default-source/reproductive-health/contraception-family-planning/stakeholder-mapping-tool.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5db05f17-37a5-4493-ba69-59e3683cbd9e" xsi:nil="true"/>
    <Links xmlns="5db05f17-37a5-4493-ba69-59e3683cbd9e" xsi:nil="true"/>
    <Relatedtopolicy xmlns="5db05f17-37a5-4493-ba69-59e3683cbd9e" xsi:nil="true"/>
    <lcf76f155ced4ddcb4097134ff3c332f xmlns="5db05f17-37a5-4493-ba69-59e3683cbd9e">
      <Terms xmlns="http://schemas.microsoft.com/office/infopath/2007/PartnerControls"/>
    </lcf76f155ced4ddcb4097134ff3c332f>
    <TaxCatchAll xmlns="1cc0978e-db05-4edd-8034-7418f07071d6" xsi:nil="true"/>
    <Theme xmlns="5db05f17-37a5-4493-ba69-59e3683cbd9e" xsi:nil="true"/>
    <Year xmlns="5db05f17-37a5-4493-ba69-59e3683cbd9e" xsi:nil="true"/>
    <Versionofpublication xmlns="5db05f17-37a5-4493-ba69-59e3683cbd9e" xsi:nil="true"/>
    <Outlet xmlns="5db05f17-37a5-4493-ba69-59e3683cbd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41D1E8FB3D94BA6B6DF25C2BF99A0" ma:contentTypeVersion="21" ma:contentTypeDescription="Create a new document." ma:contentTypeScope="" ma:versionID="8340534ed1d59c3388b61234f6a60db1">
  <xsd:schema xmlns:xsd="http://www.w3.org/2001/XMLSchema" xmlns:xs="http://www.w3.org/2001/XMLSchema" xmlns:p="http://schemas.microsoft.com/office/2006/metadata/properties" xmlns:ns2="5db05f17-37a5-4493-ba69-59e3683cbd9e" xmlns:ns3="1cc0978e-db05-4edd-8034-7418f07071d6" targetNamespace="http://schemas.microsoft.com/office/2006/metadata/properties" ma:root="true" ma:fieldsID="c7dd1c4e5ada740fb18d505f8b90739d" ns2:_="" ns3:_="">
    <xsd:import namespace="5db05f17-37a5-4493-ba69-59e3683cbd9e"/>
    <xsd:import namespace="1cc0978e-db05-4edd-8034-7418f07071d6"/>
    <xsd:element name="properties">
      <xsd:complexType>
        <xsd:sequence>
          <xsd:element name="documentManagement">
            <xsd:complexType>
              <xsd:all>
                <xsd:element ref="ns2:Documenttype" minOccurs="0"/>
                <xsd:element ref="ns2:Versionofpublication" minOccurs="0"/>
                <xsd:element ref="ns2:Relatedtopolicy" minOccurs="0"/>
                <xsd:element ref="ns2:Outlet" minOccurs="0"/>
                <xsd:element ref="ns2:Links" minOccurs="0"/>
                <xsd:element ref="ns2:Theme"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5f17-37a5-4493-ba69-59e3683cbd9e"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news article"/>
              <xsd:enumeration value="scientific article"/>
              <xsd:enumeration value="brochure"/>
              <xsd:enumeration value="report"/>
              <xsd:enumeration value="study"/>
              <xsd:enumeration value="infographic"/>
              <xsd:enumeration value="strategic"/>
              <xsd:enumeration value="project factsheet"/>
              <xsd:enumeration value="social media message"/>
              <xsd:enumeration value="achievement story"/>
            </xsd:restriction>
          </xsd:simpleType>
        </xsd:union>
      </xsd:simpleType>
    </xsd:element>
    <xsd:element name="Versionofpublication" ma:index="9" nillable="true" ma:displayName="Version of publication" ma:format="Dropdown" ma:internalName="Versionofpublication">
      <xsd:simpleType>
        <xsd:union memberTypes="dms:Text">
          <xsd:simpleType>
            <xsd:restriction base="dms:Choice">
              <xsd:enumeration value="draft"/>
              <xsd:enumeration value="final text"/>
              <xsd:enumeration value="layout"/>
              <xsd:enumeration value="print"/>
            </xsd:restriction>
          </xsd:simpleType>
        </xsd:union>
      </xsd:simpleType>
    </xsd:element>
    <xsd:element name="Relatedtopolicy" ma:index="10" nillable="true" ma:displayName="Related to policy" ma:format="Dropdown" ma:internalName="Relatedtopolicy">
      <xsd:simpleType>
        <xsd:restriction base="dms:Choice">
          <xsd:enumeration value="European Green Deal"/>
          <xsd:enumeration value="Bioeconomy strategy"/>
          <xsd:enumeration value="Circular economy action plan"/>
          <xsd:enumeration value="Zero pollution action plan"/>
          <xsd:enumeration value="Textile strategy"/>
          <xsd:enumeration value="Chemicals strategy"/>
          <xsd:enumeration value="Forests strategy"/>
          <xsd:enumeration value="Farm2Fork strategy"/>
          <xsd:enumeration value="Food"/>
        </xsd:restriction>
      </xsd:simpleType>
    </xsd:element>
    <xsd:element name="Outlet" ma:index="11" nillable="true" ma:displayName="Outlet" ma:format="Dropdown" ma:internalName="Outlet">
      <xsd:simpleType>
        <xsd:restriction base="dms:Text">
          <xsd:maxLength value="255"/>
        </xsd:restriction>
      </xsd:simpleType>
    </xsd:element>
    <xsd:element name="Links" ma:index="12" nillable="true" ma:displayName="Links" ma:format="Dropdown" ma:internalName="Links">
      <xsd:simpleType>
        <xsd:restriction base="dms:Text">
          <xsd:maxLength value="255"/>
        </xsd:restriction>
      </xsd:simpleType>
    </xsd:element>
    <xsd:element name="Theme" ma:index="13" nillable="true" ma:displayName="Theme" ma:format="Dropdown" ma:internalName="Theme">
      <xsd:simpleType>
        <xsd:restriction base="dms:Choice">
          <xsd:enumeration value="BBI JU"/>
          <xsd:enumeration value="CBE JU"/>
          <xsd:enumeration value="projects"/>
          <xsd:enumeration value="calls"/>
        </xsd:restriction>
      </xsd:simpleType>
    </xsd:element>
    <xsd:element name="Year" ma:index="14" nillable="true" ma:displayName="Year" ma:format="Dropdown" ma:internalName="Year">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0978e-db05-4edd-8034-7418f07071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29ed16-becd-496b-8878-cb54875e7c4c}" ma:internalName="TaxCatchAll" ma:showField="CatchAllData" ma:web="1cc0978e-db05-4edd-8034-7418f07071d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2.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5db05f17-37a5-4493-ba69-59e3683cbd9e"/>
    <ds:schemaRef ds:uri="1cc0978e-db05-4edd-8034-7418f07071d6"/>
  </ds:schemaRefs>
</ds:datastoreItem>
</file>

<file path=customXml/itemProps3.xml><?xml version="1.0" encoding="utf-8"?>
<ds:datastoreItem xmlns:ds="http://schemas.openxmlformats.org/officeDocument/2006/customXml" ds:itemID="{BBE73FC6-89E2-4277-BD16-375D6CC1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05f17-37a5-4493-ba69-59e3683cbd9e"/>
    <ds:schemaRef ds:uri="1cc0978e-db05-4edd-8034-7418f070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5.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9662</Words>
  <Characters>61644</Characters>
  <Application>Microsoft Office Word</Application>
  <DocSecurity>4</DocSecurity>
  <Lines>1580</Lines>
  <Paragraphs>609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70697</CharactersWithSpaces>
  <SharedDoc>false</SharedDoc>
  <HLinks>
    <vt:vector size="42" baseType="variant">
      <vt:variant>
        <vt:i4>7602223</vt:i4>
      </vt:variant>
      <vt:variant>
        <vt:i4>9</vt:i4>
      </vt:variant>
      <vt:variant>
        <vt:i4>0</vt:i4>
      </vt:variant>
      <vt:variant>
        <vt:i4>5</vt:i4>
      </vt:variant>
      <vt:variant>
        <vt:lpwstr>https://ec.europa.eu/info/funding-tenders/opportunities/docs/2021-2027/horizon/guidance/programme-guide_horizon_en.pdf</vt:lpwstr>
      </vt:variant>
      <vt:variant>
        <vt:lpwstr/>
      </vt:variant>
      <vt:variant>
        <vt:i4>4325394</vt:i4>
      </vt:variant>
      <vt:variant>
        <vt:i4>6</vt:i4>
      </vt:variant>
      <vt:variant>
        <vt:i4>0</vt:i4>
      </vt:variant>
      <vt:variant>
        <vt:i4>5</vt:i4>
      </vt:variant>
      <vt:variant>
        <vt:lpwstr>https://op.europa.eu/en/publication-detail/-/publication/33b4c99f-2e66-11eb-b27b-01aa75ed71a1/language-en</vt:lpwstr>
      </vt:variant>
      <vt:variant>
        <vt:lpwstr/>
      </vt:variant>
      <vt:variant>
        <vt:i4>1310792</vt:i4>
      </vt:variant>
      <vt:variant>
        <vt:i4>3</vt:i4>
      </vt:variant>
      <vt:variant>
        <vt:i4>0</vt:i4>
      </vt:variant>
      <vt:variant>
        <vt:i4>5</vt:i4>
      </vt:variant>
      <vt:variant>
        <vt:lpwstr>https://www.cbe.europa.eu/system/files/2022-06/cbeju-sria.pdf</vt:lpwstr>
      </vt:variant>
      <vt:variant>
        <vt:lpwstr/>
      </vt:variant>
      <vt:variant>
        <vt:i4>1310792</vt:i4>
      </vt:variant>
      <vt:variant>
        <vt:i4>0</vt:i4>
      </vt:variant>
      <vt:variant>
        <vt:i4>0</vt:i4>
      </vt:variant>
      <vt:variant>
        <vt:i4>5</vt:i4>
      </vt:variant>
      <vt:variant>
        <vt:lpwstr>https://www.cbe.europa.eu/system/files/2022-06/cbeju-sria.pdf</vt:lpwstr>
      </vt:variant>
      <vt:variant>
        <vt:lpwstr/>
      </vt:variant>
      <vt:variant>
        <vt:i4>1441794</vt:i4>
      </vt:variant>
      <vt:variant>
        <vt:i4>3</vt:i4>
      </vt:variant>
      <vt:variant>
        <vt:i4>0</vt:i4>
      </vt:variant>
      <vt:variant>
        <vt:i4>5</vt:i4>
      </vt:variant>
      <vt:variant>
        <vt:lpwstr>https://cdn.who.int/media/docs/default-source/reproductive-health/contraception-family-planning/stakeholder-mapping-tool.pdf</vt:lpwstr>
      </vt:variant>
      <vt:variant>
        <vt:lpwstr/>
      </vt:variant>
      <vt:variant>
        <vt:i4>7405649</vt:i4>
      </vt:variant>
      <vt:variant>
        <vt:i4>0</vt:i4>
      </vt:variant>
      <vt:variant>
        <vt:i4>0</vt:i4>
      </vt:variant>
      <vt:variant>
        <vt:i4>5</vt:i4>
      </vt:variant>
      <vt:variant>
        <vt:lpwstr>https://ec.europa.eu/info/funding-tenders/opportunities/docs/2021-2027/common/guidance/om_en.pdf</vt:lpwstr>
      </vt:variant>
      <vt:variant>
        <vt:lpwstr/>
      </vt:variant>
      <vt:variant>
        <vt:i4>7405649</vt:i4>
      </vt:variant>
      <vt:variant>
        <vt:i4>0</vt:i4>
      </vt:variant>
      <vt:variant>
        <vt:i4>0</vt:i4>
      </vt:variant>
      <vt:variant>
        <vt:i4>5</vt:i4>
      </vt:variant>
      <vt:variant>
        <vt:lpwstr>https://ec.europa.eu/info/funding-tenders/opportunities/docs/2021-2027/common/guidance/om_en.pdf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Olney, Jack J</cp:lastModifiedBy>
  <cp:revision>3</cp:revision>
  <cp:lastPrinted>2019-10-22T11:00:00Z</cp:lastPrinted>
  <dcterms:created xsi:type="dcterms:W3CDTF">2026-03-30T15:36:00Z</dcterms:created>
  <dcterms:modified xsi:type="dcterms:W3CDTF">2026-03-30T15:39:00Z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2016-10-09T22:00:00Z</vt:filetime>
  </property>
  <property fmtid="{D5CDD505-2E9C-101B-9397-08002B2CF9AE}" pid="3" name="LastSaved">
    <vt:filetime>2016-10-14T22:00:00Z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0x0101001A841D1E8FB3D94BA6B6DF25C2BF99A0</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SIP_Label_5097a60d-5525-435b-8989-8eb48ac0c8cd_Enabled">
    <vt:lpwstr>true</vt:lpwstr>
  </property>
  <property fmtid="{D5CDD505-2E9C-101B-9397-08002B2CF9AE}" pid="27" name="MSIP_Label_5097a60d-5525-435b-8989-8eb48ac0c8cd_SetDate">
    <vt:lpwstr>2026-01-28T13:45:06Z</vt:lpwstr>
  </property>
  <property fmtid="{D5CDD505-2E9C-101B-9397-08002B2CF9AE}" pid="28" name="MSIP_Label_5097a60d-5525-435b-8989-8eb48ac0c8cd_Method">
    <vt:lpwstr>Standard</vt:lpwstr>
  </property>
  <property fmtid="{D5CDD505-2E9C-101B-9397-08002B2CF9AE}" pid="29" name="MSIP_Label_5097a60d-5525-435b-8989-8eb48ac0c8cd_Name">
    <vt:lpwstr>defa4170-0d19-0005-0004-bc88714345d2</vt:lpwstr>
  </property>
  <property fmtid="{D5CDD505-2E9C-101B-9397-08002B2CF9AE}" pid="30" name="MSIP_Label_5097a60d-5525-435b-8989-8eb48ac0c8cd_SiteId">
    <vt:lpwstr>3e90938b-8b27-4762-b4e8-006a8127a119</vt:lpwstr>
  </property>
  <property fmtid="{D5CDD505-2E9C-101B-9397-08002B2CF9AE}" pid="31" name="MSIP_Label_5097a60d-5525-435b-8989-8eb48ac0c8cd_ActionId">
    <vt:lpwstr>df1445bb-2db8-4d2a-b37b-9a6d86ba0bc7</vt:lpwstr>
  </property>
  <property fmtid="{D5CDD505-2E9C-101B-9397-08002B2CF9AE}" pid="32" name="MSIP_Label_5097a60d-5525-435b-8989-8eb48ac0c8cd_ContentBits">
    <vt:lpwstr>0</vt:lpwstr>
  </property>
  <property fmtid="{D5CDD505-2E9C-101B-9397-08002B2CF9AE}" pid="33" name="MSIP_Label_5097a60d-5525-435b-8989-8eb48ac0c8cd_Tag">
    <vt:lpwstr>50, 3, 0, 1</vt:lpwstr>
  </property>
</Properties>
</file>