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792" w:rsidRPr="00852F29" w:rsidRDefault="00687792" w:rsidP="00687792">
      <w:pPr>
        <w:pStyle w:val="NormalWeb"/>
        <w:rPr>
          <w:color w:val="000000" w:themeColor="text1"/>
        </w:rPr>
      </w:pPr>
      <w:r w:rsidRPr="00852F29">
        <w:rPr>
          <w:color w:val="000000" w:themeColor="text1"/>
        </w:rPr>
        <w:t xml:space="preserve">An evidence-based digital literacy program should combine structured, multi-session instruction with active, behavior-focused learning (Walther et al., 2014; </w:t>
      </w:r>
      <w:proofErr w:type="spellStart"/>
      <w:r w:rsidRPr="00852F29">
        <w:rPr>
          <w:color w:val="000000" w:themeColor="text1"/>
        </w:rPr>
        <w:t>Jeong</w:t>
      </w:r>
      <w:proofErr w:type="spellEnd"/>
      <w:r w:rsidRPr="00852F29">
        <w:rPr>
          <w:color w:val="000000" w:themeColor="text1"/>
        </w:rPr>
        <w:t xml:space="preserve"> et al., 2012). </w:t>
      </w:r>
      <w:r w:rsidRPr="00687792">
        <w:rPr>
          <w:color w:val="000000" w:themeColor="text1"/>
        </w:rPr>
        <w:t xml:space="preserve">For adolescents aged 12–18, effective digital media literacy programs combine </w:t>
      </w:r>
      <w:r w:rsidRPr="00687792">
        <w:rPr>
          <w:rStyle w:val="Strong"/>
          <w:b w:val="0"/>
          <w:bCs w:val="0"/>
          <w:color w:val="000000" w:themeColor="text1"/>
        </w:rPr>
        <w:t>guided, engaging formats</w:t>
      </w:r>
      <w:r w:rsidRPr="00687792">
        <w:rPr>
          <w:color w:val="000000" w:themeColor="text1"/>
        </w:rPr>
        <w:t>—such as game-based inoculation interventions that teach common misinformation techniques and improve recognition skills (</w:t>
      </w:r>
      <w:proofErr w:type="spellStart"/>
      <w:r w:rsidRPr="00687792">
        <w:rPr>
          <w:color w:val="000000" w:themeColor="text1"/>
        </w:rPr>
        <w:t>Roozenbeek</w:t>
      </w:r>
      <w:proofErr w:type="spellEnd"/>
      <w:r w:rsidRPr="00687792">
        <w:rPr>
          <w:color w:val="000000" w:themeColor="text1"/>
        </w:rPr>
        <w:t xml:space="preserve"> &amp; van der Linden, 2019; </w:t>
      </w:r>
      <w:proofErr w:type="spellStart"/>
      <w:r w:rsidRPr="00687792">
        <w:rPr>
          <w:color w:val="000000" w:themeColor="text1"/>
        </w:rPr>
        <w:t>Basol</w:t>
      </w:r>
      <w:proofErr w:type="spellEnd"/>
      <w:r w:rsidRPr="00687792">
        <w:rPr>
          <w:color w:val="000000" w:themeColor="text1"/>
        </w:rPr>
        <w:t xml:space="preserve"> et al., 2020)—with </w:t>
      </w:r>
      <w:r w:rsidRPr="00687792">
        <w:rPr>
          <w:rStyle w:val="Strong"/>
          <w:b w:val="0"/>
          <w:bCs w:val="0"/>
          <w:color w:val="000000" w:themeColor="text1"/>
        </w:rPr>
        <w:t>structured, teacher-led curricula</w:t>
      </w:r>
      <w:r w:rsidRPr="00687792">
        <w:rPr>
          <w:color w:val="000000" w:themeColor="text1"/>
        </w:rPr>
        <w:t xml:space="preserve"> that promote self-regulation and responsible digital use (Walther et al., 2014). These programs should emphasize </w:t>
      </w:r>
      <w:r w:rsidRPr="00687792">
        <w:rPr>
          <w:rStyle w:val="Strong"/>
          <w:b w:val="0"/>
          <w:bCs w:val="0"/>
          <w:color w:val="000000" w:themeColor="text1"/>
        </w:rPr>
        <w:t>foundational competencies</w:t>
      </w:r>
      <w:r w:rsidRPr="00687792">
        <w:rPr>
          <w:color w:val="000000" w:themeColor="text1"/>
        </w:rPr>
        <w:t xml:space="preserve">, including critical evaluation of online content, understanding persuasive design, safe and ethical online behavior, and management of screen time and gaming habits, while incorporating </w:t>
      </w:r>
      <w:r w:rsidRPr="00687792">
        <w:rPr>
          <w:rStyle w:val="Strong"/>
          <w:b w:val="0"/>
          <w:bCs w:val="0"/>
          <w:color w:val="000000" w:themeColor="text1"/>
        </w:rPr>
        <w:t>interactive, scaffolded activities and social-emotional components</w:t>
      </w:r>
      <w:r w:rsidRPr="00687792">
        <w:rPr>
          <w:b/>
          <w:bCs/>
          <w:color w:val="000000" w:themeColor="text1"/>
        </w:rPr>
        <w:t xml:space="preserve"> </w:t>
      </w:r>
      <w:r w:rsidRPr="00687792">
        <w:rPr>
          <w:color w:val="000000" w:themeColor="text1"/>
        </w:rPr>
        <w:t xml:space="preserve">(e.g., emotional regulation and peer dynamics). Together, this integrated approach has been shown to reduce problematic digital behaviors and support broader wellbeing outcomes among adolescents. For young adults ages 19-25, programs should emphasize </w:t>
      </w:r>
      <w:r w:rsidRPr="00687792">
        <w:rPr>
          <w:rStyle w:val="Strong"/>
          <w:b w:val="0"/>
          <w:bCs w:val="0"/>
          <w:color w:val="000000" w:themeColor="text1"/>
        </w:rPr>
        <w:t>applied, autonomous, and higher- order competencies</w:t>
      </w:r>
      <w:r w:rsidRPr="00687792">
        <w:rPr>
          <w:b/>
          <w:bCs/>
          <w:color w:val="000000" w:themeColor="text1"/>
        </w:rPr>
        <w:t>,</w:t>
      </w:r>
      <w:r w:rsidRPr="00687792">
        <w:rPr>
          <w:color w:val="000000" w:themeColor="text1"/>
        </w:rPr>
        <w:t xml:space="preserve"> including advanced information verification, lateral reading, and source evaluation strategies (</w:t>
      </w:r>
      <w:proofErr w:type="spellStart"/>
      <w:r w:rsidRPr="00687792">
        <w:rPr>
          <w:color w:val="000000" w:themeColor="text1"/>
        </w:rPr>
        <w:t>Guath</w:t>
      </w:r>
      <w:proofErr w:type="spellEnd"/>
      <w:r w:rsidRPr="00687792">
        <w:rPr>
          <w:color w:val="000000" w:themeColor="text1"/>
        </w:rPr>
        <w:t xml:space="preserve"> &amp; Nygren, 2022).  Effective programs also incorporate </w:t>
      </w:r>
      <w:r w:rsidRPr="00687792">
        <w:rPr>
          <w:rStyle w:val="Strong"/>
          <w:b w:val="0"/>
          <w:bCs w:val="0"/>
          <w:color w:val="000000" w:themeColor="text1"/>
        </w:rPr>
        <w:t xml:space="preserve">scalable </w:t>
      </w:r>
      <w:proofErr w:type="spellStart"/>
      <w:r w:rsidRPr="00687792">
        <w:rPr>
          <w:rStyle w:val="Strong"/>
          <w:b w:val="0"/>
          <w:bCs w:val="0"/>
          <w:color w:val="000000" w:themeColor="text1"/>
        </w:rPr>
        <w:t>prebunking</w:t>
      </w:r>
      <w:proofErr w:type="spellEnd"/>
      <w:r w:rsidRPr="00687792">
        <w:rPr>
          <w:rStyle w:val="Strong"/>
          <w:b w:val="0"/>
          <w:bCs w:val="0"/>
          <w:color w:val="000000" w:themeColor="text1"/>
        </w:rPr>
        <w:t xml:space="preserve"> interventions</w:t>
      </w:r>
      <w:r w:rsidRPr="00687792">
        <w:rPr>
          <w:b/>
          <w:bCs/>
          <w:color w:val="000000" w:themeColor="text1"/>
        </w:rPr>
        <w:t>,</w:t>
      </w:r>
      <w:r w:rsidRPr="00687792">
        <w:rPr>
          <w:color w:val="000000" w:themeColor="text1"/>
        </w:rPr>
        <w:t xml:space="preserve"> such as short videos that enhance resistance to misinformation across contexts (</w:t>
      </w:r>
      <w:proofErr w:type="spellStart"/>
      <w:r w:rsidRPr="00687792">
        <w:rPr>
          <w:color w:val="000000" w:themeColor="text1"/>
        </w:rPr>
        <w:t>Roozenbeek</w:t>
      </w:r>
      <w:proofErr w:type="spellEnd"/>
      <w:r w:rsidRPr="00687792">
        <w:rPr>
          <w:color w:val="000000" w:themeColor="text1"/>
        </w:rPr>
        <w:t xml:space="preserve"> et al., 2022), alongside </w:t>
      </w:r>
      <w:r w:rsidRPr="00687792">
        <w:rPr>
          <w:rStyle w:val="Strong"/>
          <w:b w:val="0"/>
          <w:bCs w:val="0"/>
          <w:color w:val="000000" w:themeColor="text1"/>
        </w:rPr>
        <w:t>behavioral components</w:t>
      </w:r>
      <w:r w:rsidRPr="00687792">
        <w:rPr>
          <w:color w:val="000000" w:themeColor="text1"/>
        </w:rPr>
        <w:t xml:space="preserve"> like accuracy prompts that reduce misinformation sharing in real time (Guess et al., 2020). </w:t>
      </w:r>
      <w:r w:rsidRPr="00852F29">
        <w:rPr>
          <w:color w:val="000000" w:themeColor="text1"/>
        </w:rPr>
        <w:t>Across both age groups, the strongest programs integrate interactive practice, reflection, and discussion, with increasing emphasis on autonomy and real-world application for older learners, aligning with meta-analytic evidence that media literacy interventions produce consistent, moderate improvements in knowledge, attitudes, and behaviors when they are structured, participatory, and developmentally tailored (</w:t>
      </w:r>
      <w:proofErr w:type="spellStart"/>
      <w:r w:rsidRPr="00852F29">
        <w:rPr>
          <w:color w:val="000000" w:themeColor="text1"/>
        </w:rPr>
        <w:t>Jeong</w:t>
      </w:r>
      <w:proofErr w:type="spellEnd"/>
      <w:r w:rsidRPr="00852F29">
        <w:rPr>
          <w:color w:val="000000" w:themeColor="text1"/>
        </w:rPr>
        <w:t xml:space="preserve"> et al., 2012).</w:t>
      </w:r>
    </w:p>
    <w:p w:rsidR="00687792" w:rsidRPr="00687792" w:rsidRDefault="00687792" w:rsidP="00687792">
      <w:pPr>
        <w:rPr>
          <w:rFonts w:ascii="Times New Roman" w:hAnsi="Times New Roman" w:cs="Times New Roman"/>
          <w:color w:val="000000" w:themeColor="text1"/>
        </w:rPr>
      </w:pPr>
      <w:r w:rsidRPr="00687792">
        <w:rPr>
          <w:rFonts w:ascii="Times New Roman" w:hAnsi="Times New Roman" w:cs="Times New Roman"/>
          <w:color w:val="000000" w:themeColor="text1"/>
        </w:rPr>
        <w:t xml:space="preserve">Walther, B., </w:t>
      </w:r>
      <w:proofErr w:type="spellStart"/>
      <w:r w:rsidRPr="00687792">
        <w:rPr>
          <w:rFonts w:ascii="Times New Roman" w:hAnsi="Times New Roman" w:cs="Times New Roman"/>
          <w:color w:val="000000" w:themeColor="text1"/>
        </w:rPr>
        <w:t>Hanewinkel</w:t>
      </w:r>
      <w:proofErr w:type="spellEnd"/>
      <w:r w:rsidRPr="00687792">
        <w:rPr>
          <w:rFonts w:ascii="Times New Roman" w:hAnsi="Times New Roman" w:cs="Times New Roman"/>
          <w:color w:val="000000" w:themeColor="text1"/>
        </w:rPr>
        <w:t xml:space="preserve">, R., &amp; Morgenstern, M. (2014). Effects of a Brief School-Based Media Literacy Intervention on Digital Media Use in Adolescents: Cluster Randomized Controlled Trial. </w:t>
      </w:r>
      <w:r w:rsidRPr="00687792">
        <w:rPr>
          <w:rFonts w:ascii="Times New Roman" w:hAnsi="Times New Roman" w:cs="Times New Roman"/>
          <w:i/>
          <w:iCs/>
          <w:color w:val="000000" w:themeColor="text1"/>
        </w:rPr>
        <w:t>Cyberpsychology, Behavior, and Social Networking</w:t>
      </w:r>
      <w:r w:rsidRPr="00687792">
        <w:rPr>
          <w:rFonts w:ascii="Times New Roman" w:hAnsi="Times New Roman" w:cs="Times New Roman"/>
          <w:color w:val="000000" w:themeColor="text1"/>
        </w:rPr>
        <w:t xml:space="preserve">, </w:t>
      </w:r>
      <w:r w:rsidRPr="00687792">
        <w:rPr>
          <w:rFonts w:ascii="Times New Roman" w:hAnsi="Times New Roman" w:cs="Times New Roman"/>
          <w:i/>
          <w:iCs/>
          <w:color w:val="000000" w:themeColor="text1"/>
        </w:rPr>
        <w:t>17</w:t>
      </w:r>
      <w:r w:rsidRPr="00687792">
        <w:rPr>
          <w:rFonts w:ascii="Times New Roman" w:hAnsi="Times New Roman" w:cs="Times New Roman"/>
          <w:color w:val="000000" w:themeColor="text1"/>
        </w:rPr>
        <w:t>(9), 616-623.</w:t>
      </w:r>
    </w:p>
    <w:p w:rsidR="00687792" w:rsidRPr="00687792" w:rsidRDefault="00687792" w:rsidP="00687792">
      <w:pPr>
        <w:pStyle w:val="NormalWeb"/>
        <w:rPr>
          <w:color w:val="000000" w:themeColor="text1"/>
          <w:shd w:val="clear" w:color="auto" w:fill="FFFFFF"/>
        </w:rPr>
      </w:pPr>
      <w:proofErr w:type="spellStart"/>
      <w:r w:rsidRPr="00687792">
        <w:rPr>
          <w:color w:val="000000" w:themeColor="text1"/>
          <w:shd w:val="clear" w:color="auto" w:fill="FFFFFF"/>
        </w:rPr>
        <w:t>Jeong</w:t>
      </w:r>
      <w:proofErr w:type="spellEnd"/>
      <w:r w:rsidRPr="00687792">
        <w:rPr>
          <w:color w:val="000000" w:themeColor="text1"/>
          <w:shd w:val="clear" w:color="auto" w:fill="FFFFFF"/>
        </w:rPr>
        <w:t xml:space="preserve"> SH, Cho H, Hwang Y. Media Literacy Interventions: A Meta-Analytic Review. J </w:t>
      </w:r>
      <w:proofErr w:type="spellStart"/>
      <w:r w:rsidRPr="00687792">
        <w:rPr>
          <w:color w:val="000000" w:themeColor="text1"/>
          <w:shd w:val="clear" w:color="auto" w:fill="FFFFFF"/>
        </w:rPr>
        <w:t>Commun</w:t>
      </w:r>
      <w:proofErr w:type="spellEnd"/>
      <w:r w:rsidRPr="00687792">
        <w:rPr>
          <w:color w:val="000000" w:themeColor="text1"/>
          <w:shd w:val="clear" w:color="auto" w:fill="FFFFFF"/>
        </w:rPr>
        <w:t>. 2012 Jun 1;62(3):454-472. doi: 10.1111/j.1460-2466.2012.</w:t>
      </w:r>
      <w:proofErr w:type="gramStart"/>
      <w:r w:rsidRPr="00687792">
        <w:rPr>
          <w:color w:val="000000" w:themeColor="text1"/>
          <w:shd w:val="clear" w:color="auto" w:fill="FFFFFF"/>
        </w:rPr>
        <w:t>01643.x.</w:t>
      </w:r>
      <w:proofErr w:type="gramEnd"/>
      <w:r w:rsidRPr="00687792">
        <w:rPr>
          <w:color w:val="000000" w:themeColor="text1"/>
          <w:shd w:val="clear" w:color="auto" w:fill="FFFFFF"/>
        </w:rPr>
        <w:t xml:space="preserve"> Epub 2012 Apr 24. </w:t>
      </w:r>
    </w:p>
    <w:p w:rsidR="00687792" w:rsidRPr="00687792" w:rsidRDefault="00687792" w:rsidP="00687792">
      <w:pPr>
        <w:pStyle w:val="NormalWeb"/>
        <w:rPr>
          <w:color w:val="000000" w:themeColor="text1"/>
          <w:shd w:val="clear" w:color="auto" w:fill="FFFFFF"/>
        </w:rPr>
      </w:pPr>
      <w:proofErr w:type="spellStart"/>
      <w:r w:rsidRPr="00687792">
        <w:rPr>
          <w:color w:val="000000" w:themeColor="text1"/>
          <w:shd w:val="clear" w:color="auto" w:fill="FFFFFF"/>
        </w:rPr>
        <w:t>Roozenbeek</w:t>
      </w:r>
      <w:proofErr w:type="spellEnd"/>
      <w:r w:rsidRPr="00687792">
        <w:rPr>
          <w:color w:val="000000" w:themeColor="text1"/>
          <w:shd w:val="clear" w:color="auto" w:fill="FFFFFF"/>
        </w:rPr>
        <w:t>, J., van der Linden, S. Fake news game confers psychological resistance against online misinformation. </w:t>
      </w:r>
      <w:r w:rsidRPr="00687792">
        <w:rPr>
          <w:i/>
          <w:iCs/>
          <w:color w:val="000000" w:themeColor="text1"/>
          <w:shd w:val="clear" w:color="auto" w:fill="FFFFFF"/>
        </w:rPr>
        <w:t xml:space="preserve">Palgrave </w:t>
      </w:r>
      <w:proofErr w:type="spellStart"/>
      <w:r w:rsidRPr="004248C9">
        <w:rPr>
          <w:i/>
          <w:iCs/>
          <w:color w:val="000000" w:themeColor="text1"/>
          <w:shd w:val="clear" w:color="auto" w:fill="FFFFFF"/>
        </w:rPr>
        <w:t>Commun</w:t>
      </w:r>
      <w:proofErr w:type="spellEnd"/>
      <w:r w:rsidRPr="004248C9">
        <w:rPr>
          <w:color w:val="000000" w:themeColor="text1"/>
          <w:shd w:val="clear" w:color="auto" w:fill="FFFFFF"/>
        </w:rPr>
        <w:t> 5,</w:t>
      </w:r>
      <w:r w:rsidRPr="00687792">
        <w:rPr>
          <w:color w:val="000000" w:themeColor="text1"/>
          <w:shd w:val="clear" w:color="auto" w:fill="FFFFFF"/>
        </w:rPr>
        <w:t xml:space="preserve"> 65 (2019). </w:t>
      </w:r>
      <w:hyperlink r:id="rId4" w:history="1">
        <w:r w:rsidRPr="00687792">
          <w:rPr>
            <w:rStyle w:val="Hyperlink"/>
            <w:color w:val="000000" w:themeColor="text1"/>
            <w:shd w:val="clear" w:color="auto" w:fill="FFFFFF"/>
          </w:rPr>
          <w:t>https://doi.org/10.1057/s41599-019-0279-9</w:t>
        </w:r>
      </w:hyperlink>
    </w:p>
    <w:p w:rsidR="00687792" w:rsidRPr="00687792" w:rsidRDefault="00687792" w:rsidP="00687792">
      <w:pPr>
        <w:pStyle w:val="NormalWeb"/>
        <w:rPr>
          <w:color w:val="000000" w:themeColor="text1"/>
          <w:shd w:val="clear" w:color="auto" w:fill="FFFFFF"/>
        </w:rPr>
      </w:pPr>
      <w:proofErr w:type="spellStart"/>
      <w:r w:rsidRPr="00687792">
        <w:rPr>
          <w:color w:val="000000" w:themeColor="text1"/>
          <w:shd w:val="clear" w:color="auto" w:fill="FFFFFF"/>
        </w:rPr>
        <w:t>Basol</w:t>
      </w:r>
      <w:proofErr w:type="spellEnd"/>
      <w:r w:rsidRPr="00687792">
        <w:rPr>
          <w:color w:val="000000" w:themeColor="text1"/>
          <w:shd w:val="clear" w:color="auto" w:fill="FFFFFF"/>
        </w:rPr>
        <w:t xml:space="preserve"> M, </w:t>
      </w:r>
      <w:proofErr w:type="spellStart"/>
      <w:r w:rsidRPr="00687792">
        <w:rPr>
          <w:color w:val="000000" w:themeColor="text1"/>
          <w:shd w:val="clear" w:color="auto" w:fill="FFFFFF"/>
        </w:rPr>
        <w:t>Roozenbeek</w:t>
      </w:r>
      <w:proofErr w:type="spellEnd"/>
      <w:r w:rsidRPr="00687792">
        <w:rPr>
          <w:color w:val="000000" w:themeColor="text1"/>
          <w:shd w:val="clear" w:color="auto" w:fill="FFFFFF"/>
        </w:rPr>
        <w:t xml:space="preserve"> J, van der Linden S. Good News about Bad News: Gamified Inoculation Boosts Confidence and Cognitive Immunity Against Fake News. J </w:t>
      </w:r>
      <w:proofErr w:type="spellStart"/>
      <w:r w:rsidRPr="00687792">
        <w:rPr>
          <w:color w:val="000000" w:themeColor="text1"/>
          <w:shd w:val="clear" w:color="auto" w:fill="FFFFFF"/>
        </w:rPr>
        <w:t>Cogn</w:t>
      </w:r>
      <w:proofErr w:type="spellEnd"/>
      <w:r w:rsidRPr="00687792">
        <w:rPr>
          <w:color w:val="000000" w:themeColor="text1"/>
          <w:shd w:val="clear" w:color="auto" w:fill="FFFFFF"/>
        </w:rPr>
        <w:t>. 2020 Jan 10;3(1):2. doi: 10.5334/joc.91. PMID: 31934684; PMCID: PMC6952868.</w:t>
      </w:r>
    </w:p>
    <w:p w:rsidR="00687792" w:rsidRPr="00687792" w:rsidRDefault="00687792" w:rsidP="00687792">
      <w:pPr>
        <w:pStyle w:val="NormalWeb"/>
        <w:rPr>
          <w:color w:val="000000" w:themeColor="text1"/>
        </w:rPr>
      </w:pPr>
      <w:proofErr w:type="spellStart"/>
      <w:r w:rsidRPr="00687792">
        <w:rPr>
          <w:color w:val="000000" w:themeColor="text1"/>
        </w:rPr>
        <w:t>Guath</w:t>
      </w:r>
      <w:proofErr w:type="spellEnd"/>
      <w:r w:rsidRPr="00687792">
        <w:rPr>
          <w:color w:val="000000" w:themeColor="text1"/>
        </w:rPr>
        <w:t xml:space="preserve"> M and Nygren T (2022) Civic Online Reasoning Among Adults: An Empirical Evaluation of a Prescriptive Theory and Its Correlates. Front. Educ. 7:721731. doi: 10.3389/feduc.2022.721731</w:t>
      </w:r>
    </w:p>
    <w:p w:rsidR="00687792" w:rsidRPr="00687792" w:rsidRDefault="00687792" w:rsidP="00687792">
      <w:pPr>
        <w:pStyle w:val="NormalWeb"/>
        <w:rPr>
          <w:color w:val="000000" w:themeColor="text1"/>
        </w:rPr>
      </w:pPr>
    </w:p>
    <w:p w:rsidR="00687792" w:rsidRPr="004248C9" w:rsidRDefault="00687792" w:rsidP="00687792">
      <w:pPr>
        <w:pStyle w:val="NormalWeb"/>
        <w:rPr>
          <w:color w:val="000000" w:themeColor="text1"/>
        </w:rPr>
      </w:pPr>
      <w:proofErr w:type="spellStart"/>
      <w:r w:rsidRPr="00687792">
        <w:rPr>
          <w:color w:val="000000" w:themeColor="text1"/>
        </w:rPr>
        <w:lastRenderedPageBreak/>
        <w:t>Roozenbeek</w:t>
      </w:r>
      <w:proofErr w:type="spellEnd"/>
      <w:r w:rsidRPr="00687792">
        <w:rPr>
          <w:color w:val="000000" w:themeColor="text1"/>
        </w:rPr>
        <w:t xml:space="preserve">, J., van der Linden, S., Goldberg, B., </w:t>
      </w:r>
      <w:proofErr w:type="spellStart"/>
      <w:r w:rsidRPr="00687792">
        <w:rPr>
          <w:color w:val="000000" w:themeColor="text1"/>
        </w:rPr>
        <w:t>Rathje</w:t>
      </w:r>
      <w:proofErr w:type="spellEnd"/>
      <w:r w:rsidRPr="00687792">
        <w:rPr>
          <w:color w:val="000000" w:themeColor="text1"/>
        </w:rPr>
        <w:t>, S., &amp; Lewandowsky, S. (2022).</w:t>
      </w:r>
      <w:r w:rsidRPr="00687792">
        <w:rPr>
          <w:color w:val="000000" w:themeColor="text1"/>
        </w:rPr>
        <w:br/>
      </w:r>
      <w:r w:rsidRPr="00687792">
        <w:rPr>
          <w:rStyle w:val="Emphasis"/>
          <w:color w:val="000000" w:themeColor="text1"/>
        </w:rPr>
        <w:t>Psychological inoculation improves resilience against misinformation on social media.</w:t>
      </w:r>
      <w:r w:rsidRPr="00687792">
        <w:rPr>
          <w:color w:val="000000" w:themeColor="text1"/>
        </w:rPr>
        <w:br/>
      </w:r>
      <w:r w:rsidRPr="004248C9">
        <w:rPr>
          <w:rStyle w:val="Strong"/>
          <w:b w:val="0"/>
          <w:bCs w:val="0"/>
          <w:color w:val="000000" w:themeColor="text1"/>
        </w:rPr>
        <w:t>Science Advances, 8(34)</w:t>
      </w:r>
      <w:r w:rsidRPr="004248C9">
        <w:rPr>
          <w:color w:val="000000" w:themeColor="text1"/>
        </w:rPr>
        <w:t xml:space="preserve">. </w:t>
      </w:r>
      <w:hyperlink r:id="rId5" w:tgtFrame="_new" w:history="1">
        <w:r w:rsidRPr="004248C9">
          <w:rPr>
            <w:rStyle w:val="Hyperlink"/>
            <w:color w:val="000000" w:themeColor="text1"/>
          </w:rPr>
          <w:t>https://doi.org/10.1126/sciadv.abo6254</w:t>
        </w:r>
      </w:hyperlink>
      <w:r w:rsidRPr="004248C9">
        <w:rPr>
          <w:color w:val="000000" w:themeColor="text1"/>
        </w:rPr>
        <w:t xml:space="preserve"> </w:t>
      </w:r>
    </w:p>
    <w:p w:rsidR="00687792" w:rsidRPr="004248C9" w:rsidRDefault="00687792" w:rsidP="00687792">
      <w:pPr>
        <w:pStyle w:val="NormalWeb"/>
        <w:rPr>
          <w:color w:val="000000" w:themeColor="text1"/>
          <w:shd w:val="clear" w:color="auto" w:fill="FFFFFF"/>
        </w:rPr>
      </w:pPr>
      <w:r w:rsidRPr="004248C9">
        <w:rPr>
          <w:color w:val="000000" w:themeColor="text1"/>
          <w:shd w:val="clear" w:color="auto" w:fill="FFFFFF"/>
        </w:rPr>
        <w:t xml:space="preserve">A.M. Guess, M. Lerner, B. Lyons, J.M. Montgomery, B. </w:t>
      </w:r>
      <w:proofErr w:type="spellStart"/>
      <w:r w:rsidRPr="004248C9">
        <w:rPr>
          <w:color w:val="000000" w:themeColor="text1"/>
          <w:shd w:val="clear" w:color="auto" w:fill="FFFFFF"/>
        </w:rPr>
        <w:t>Nyhan</w:t>
      </w:r>
      <w:proofErr w:type="spellEnd"/>
      <w:r w:rsidRPr="004248C9">
        <w:rPr>
          <w:color w:val="000000" w:themeColor="text1"/>
          <w:shd w:val="clear" w:color="auto" w:fill="FFFFFF"/>
        </w:rPr>
        <w:t xml:space="preserve">, J. </w:t>
      </w:r>
      <w:proofErr w:type="spellStart"/>
      <w:r w:rsidRPr="004248C9">
        <w:rPr>
          <w:color w:val="000000" w:themeColor="text1"/>
          <w:shd w:val="clear" w:color="auto" w:fill="FFFFFF"/>
        </w:rPr>
        <w:t>Reifler</w:t>
      </w:r>
      <w:proofErr w:type="spellEnd"/>
      <w:r w:rsidRPr="004248C9">
        <w:rPr>
          <w:color w:val="000000" w:themeColor="text1"/>
          <w:shd w:val="clear" w:color="auto" w:fill="FFFFFF"/>
        </w:rPr>
        <w:t>, &amp; N. Sircar, A digital media literacy intervention increases discernment between mainstream and false news in the United States and India, Proc. Natl. Acad. Sci. U.S.A. 117 (27) 15536-15545, https://doi.org/10.1073/pnas.1920498117 (2020).</w:t>
      </w:r>
    </w:p>
    <w:p w:rsidR="007A3C90" w:rsidRPr="00687792" w:rsidRDefault="007A3C90">
      <w:pPr>
        <w:rPr>
          <w:color w:val="000000" w:themeColor="text1"/>
        </w:rPr>
      </w:pPr>
    </w:p>
    <w:sectPr w:rsidR="007A3C90" w:rsidRPr="0068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92"/>
    <w:rsid w:val="0000019C"/>
    <w:rsid w:val="00000F77"/>
    <w:rsid w:val="00012343"/>
    <w:rsid w:val="00014D03"/>
    <w:rsid w:val="00022D2B"/>
    <w:rsid w:val="00062502"/>
    <w:rsid w:val="000717AB"/>
    <w:rsid w:val="000852CB"/>
    <w:rsid w:val="000A1F56"/>
    <w:rsid w:val="000A75B4"/>
    <w:rsid w:val="000B6623"/>
    <w:rsid w:val="00101967"/>
    <w:rsid w:val="001163B0"/>
    <w:rsid w:val="00117313"/>
    <w:rsid w:val="0013355B"/>
    <w:rsid w:val="00136BF2"/>
    <w:rsid w:val="001505A0"/>
    <w:rsid w:val="00174514"/>
    <w:rsid w:val="00197377"/>
    <w:rsid w:val="001C1AFD"/>
    <w:rsid w:val="001C504C"/>
    <w:rsid w:val="002439E4"/>
    <w:rsid w:val="00255213"/>
    <w:rsid w:val="002821DB"/>
    <w:rsid w:val="002967E2"/>
    <w:rsid w:val="002A41E8"/>
    <w:rsid w:val="002C67E7"/>
    <w:rsid w:val="002D5346"/>
    <w:rsid w:val="002E123F"/>
    <w:rsid w:val="002E3B73"/>
    <w:rsid w:val="002E6DF6"/>
    <w:rsid w:val="002F4A75"/>
    <w:rsid w:val="00322722"/>
    <w:rsid w:val="00334AF0"/>
    <w:rsid w:val="003A5914"/>
    <w:rsid w:val="003C04E8"/>
    <w:rsid w:val="003C1CD6"/>
    <w:rsid w:val="003D384C"/>
    <w:rsid w:val="003F076D"/>
    <w:rsid w:val="003F680A"/>
    <w:rsid w:val="004005C1"/>
    <w:rsid w:val="004248C9"/>
    <w:rsid w:val="00435567"/>
    <w:rsid w:val="00461BB5"/>
    <w:rsid w:val="00493A41"/>
    <w:rsid w:val="004D1771"/>
    <w:rsid w:val="004E0F6C"/>
    <w:rsid w:val="004E7C07"/>
    <w:rsid w:val="00503CA8"/>
    <w:rsid w:val="00523166"/>
    <w:rsid w:val="005C1A11"/>
    <w:rsid w:val="005C4188"/>
    <w:rsid w:val="005C5345"/>
    <w:rsid w:val="005E6A17"/>
    <w:rsid w:val="006011C6"/>
    <w:rsid w:val="0062123E"/>
    <w:rsid w:val="0063172C"/>
    <w:rsid w:val="006318B4"/>
    <w:rsid w:val="0064473C"/>
    <w:rsid w:val="0065646C"/>
    <w:rsid w:val="00687792"/>
    <w:rsid w:val="0069666B"/>
    <w:rsid w:val="0069717D"/>
    <w:rsid w:val="0069728A"/>
    <w:rsid w:val="006E67B8"/>
    <w:rsid w:val="006F2B34"/>
    <w:rsid w:val="006F2EA6"/>
    <w:rsid w:val="006F40DE"/>
    <w:rsid w:val="006F53A0"/>
    <w:rsid w:val="00703A9B"/>
    <w:rsid w:val="0070757E"/>
    <w:rsid w:val="007271CC"/>
    <w:rsid w:val="00741086"/>
    <w:rsid w:val="00752F5B"/>
    <w:rsid w:val="007869C8"/>
    <w:rsid w:val="007A3C90"/>
    <w:rsid w:val="007C04CF"/>
    <w:rsid w:val="007D0888"/>
    <w:rsid w:val="007D4151"/>
    <w:rsid w:val="007E2BF9"/>
    <w:rsid w:val="008B09A9"/>
    <w:rsid w:val="008C4A9D"/>
    <w:rsid w:val="008D3D7F"/>
    <w:rsid w:val="008E2384"/>
    <w:rsid w:val="00901DC3"/>
    <w:rsid w:val="0090284E"/>
    <w:rsid w:val="00917D21"/>
    <w:rsid w:val="00924057"/>
    <w:rsid w:val="009829E0"/>
    <w:rsid w:val="009A0784"/>
    <w:rsid w:val="009A08BE"/>
    <w:rsid w:val="009C786B"/>
    <w:rsid w:val="009E1AAD"/>
    <w:rsid w:val="00A01AAE"/>
    <w:rsid w:val="00A30D27"/>
    <w:rsid w:val="00A313CF"/>
    <w:rsid w:val="00A35183"/>
    <w:rsid w:val="00A378F3"/>
    <w:rsid w:val="00A43A7D"/>
    <w:rsid w:val="00A50A29"/>
    <w:rsid w:val="00A81312"/>
    <w:rsid w:val="00B36749"/>
    <w:rsid w:val="00B41ACA"/>
    <w:rsid w:val="00B515F3"/>
    <w:rsid w:val="00B7054A"/>
    <w:rsid w:val="00B70834"/>
    <w:rsid w:val="00B81FD5"/>
    <w:rsid w:val="00BA1DD0"/>
    <w:rsid w:val="00BB22B3"/>
    <w:rsid w:val="00BB633F"/>
    <w:rsid w:val="00BB7388"/>
    <w:rsid w:val="00BB7889"/>
    <w:rsid w:val="00BD157E"/>
    <w:rsid w:val="00C04B4D"/>
    <w:rsid w:val="00C155E1"/>
    <w:rsid w:val="00C47560"/>
    <w:rsid w:val="00C47ADE"/>
    <w:rsid w:val="00CA4BA6"/>
    <w:rsid w:val="00CF5042"/>
    <w:rsid w:val="00D1073A"/>
    <w:rsid w:val="00D141F8"/>
    <w:rsid w:val="00D149A9"/>
    <w:rsid w:val="00D305B3"/>
    <w:rsid w:val="00D317A5"/>
    <w:rsid w:val="00D4218F"/>
    <w:rsid w:val="00D52F1B"/>
    <w:rsid w:val="00D54C5F"/>
    <w:rsid w:val="00D632AD"/>
    <w:rsid w:val="00D748CD"/>
    <w:rsid w:val="00D85BDB"/>
    <w:rsid w:val="00DB525A"/>
    <w:rsid w:val="00DD205D"/>
    <w:rsid w:val="00DD4D9E"/>
    <w:rsid w:val="00DD6CB1"/>
    <w:rsid w:val="00DF74EF"/>
    <w:rsid w:val="00E03489"/>
    <w:rsid w:val="00E11F09"/>
    <w:rsid w:val="00E26FF1"/>
    <w:rsid w:val="00E36F09"/>
    <w:rsid w:val="00E5287C"/>
    <w:rsid w:val="00E85822"/>
    <w:rsid w:val="00EB13B3"/>
    <w:rsid w:val="00EE6BD8"/>
    <w:rsid w:val="00EF726F"/>
    <w:rsid w:val="00EF746E"/>
    <w:rsid w:val="00F17090"/>
    <w:rsid w:val="00F53E96"/>
    <w:rsid w:val="00F80CD9"/>
    <w:rsid w:val="00FC1171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A569"/>
  <w15:chartTrackingRefBased/>
  <w15:docId w15:val="{AA949AC1-153A-0145-9177-9BAE724A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7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87792"/>
    <w:rPr>
      <w:b/>
      <w:bCs/>
    </w:rPr>
  </w:style>
  <w:style w:type="character" w:styleId="Emphasis">
    <w:name w:val="Emphasis"/>
    <w:basedOn w:val="DefaultParagraphFont"/>
    <w:uiPriority w:val="20"/>
    <w:qFormat/>
    <w:rsid w:val="00687792"/>
    <w:rPr>
      <w:i/>
      <w:iCs/>
    </w:rPr>
  </w:style>
  <w:style w:type="character" w:styleId="Hyperlink">
    <w:name w:val="Hyperlink"/>
    <w:basedOn w:val="DefaultParagraphFont"/>
    <w:uiPriority w:val="99"/>
    <w:unhideWhenUsed/>
    <w:rsid w:val="00687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26/sciadv.abo6254" TargetMode="External"/><Relationship Id="rId4" Type="http://schemas.openxmlformats.org/officeDocument/2006/relationships/hyperlink" Target="https://doi.org/10.1057/s41599-019-0279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Krystle</dc:creator>
  <cp:keywords/>
  <dc:description/>
  <cp:lastModifiedBy>Bragg, Marie</cp:lastModifiedBy>
  <cp:revision>3</cp:revision>
  <dcterms:created xsi:type="dcterms:W3CDTF">2026-04-10T21:31:00Z</dcterms:created>
  <dcterms:modified xsi:type="dcterms:W3CDTF">2026-04-10T21:33:00Z</dcterms:modified>
</cp:coreProperties>
</file>