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4C7D" w14:textId="77777777" w:rsidR="00CE7BBD" w:rsidRDefault="00CE7BBD" w:rsidP="00CE7BBD">
      <w:pPr>
        <w:spacing w:line="360" w:lineRule="auto"/>
        <w:jc w:val="center"/>
        <w:rPr>
          <w:rFonts w:ascii="Calibri Light" w:hAnsi="Calibri Light" w:cs="Calibri Light"/>
          <w:b/>
          <w:bCs/>
          <w:i/>
          <w:iCs/>
          <w:lang w:val="en-GB"/>
        </w:rPr>
      </w:pPr>
      <w:r w:rsidRPr="002B247B">
        <w:rPr>
          <w:rFonts w:ascii="Calibri Light" w:hAnsi="Calibri Light" w:cs="Calibri Light"/>
          <w:b/>
          <w:bCs/>
          <w:i/>
          <w:iCs/>
          <w:lang w:val="en-GB"/>
        </w:rPr>
        <w:t>HORIZON-HLTH-2026-01-STAYHLTH-02: Behavioural interventions as primary prevention for Non-Communicable Diseases (NCDs) among young people</w:t>
      </w:r>
    </w:p>
    <w:p w14:paraId="44C3E25E" w14:textId="614FB925" w:rsidR="00CE7BBD" w:rsidRDefault="00CE7BBD" w:rsidP="00CE7BBD">
      <w:pPr>
        <w:spacing w:line="360" w:lineRule="auto"/>
        <w:jc w:val="center"/>
        <w:rPr>
          <w:rFonts w:ascii="Calibri Light" w:hAnsi="Calibri Light" w:cs="Calibri Light"/>
          <w:b/>
          <w:bCs/>
          <w:i/>
          <w:iCs/>
          <w:lang w:val="en-GB"/>
        </w:rPr>
      </w:pPr>
      <w:r>
        <w:rPr>
          <w:rFonts w:ascii="Calibri Light" w:hAnsi="Calibri Light" w:cs="Calibri Light"/>
          <w:b/>
          <w:bCs/>
          <w:i/>
          <w:iCs/>
          <w:lang w:val="en-GB"/>
        </w:rPr>
        <w:t>FAQ</w:t>
      </w:r>
    </w:p>
    <w:p w14:paraId="7E915031" w14:textId="613ED4ED" w:rsidR="00CE7BBD" w:rsidRPr="002B247B" w:rsidRDefault="00F00A31" w:rsidP="00B265AB">
      <w:pPr>
        <w:spacing w:line="360" w:lineRule="auto"/>
        <w:jc w:val="center"/>
        <w:rPr>
          <w:rFonts w:ascii="Calibri Light" w:hAnsi="Calibri Light" w:cs="Calibri Light"/>
          <w:b/>
          <w:bCs/>
          <w:i/>
          <w:iCs/>
          <w:lang w:val="en-GB"/>
        </w:rPr>
      </w:pPr>
      <w:r>
        <w:rPr>
          <w:rFonts w:ascii="Calibri Light" w:hAnsi="Calibri Light" w:cs="Calibri Light"/>
          <w:b/>
          <w:bCs/>
          <w:i/>
          <w:iCs/>
          <w:lang w:val="en-GB"/>
        </w:rPr>
        <w:t xml:space="preserve">Date: </w:t>
      </w:r>
      <w:r w:rsidRPr="00F00A31">
        <w:rPr>
          <w:rFonts w:ascii="Calibri Light" w:hAnsi="Calibri Light" w:cs="Calibri Light"/>
          <w:b/>
          <w:bCs/>
          <w:i/>
          <w:iCs/>
          <w:lang w:val="en-GB"/>
        </w:rPr>
        <w:t>2</w:t>
      </w:r>
      <w:r w:rsidR="00B265AB">
        <w:rPr>
          <w:rFonts w:ascii="Calibri Light" w:hAnsi="Calibri Light" w:cs="Calibri Light"/>
          <w:b/>
          <w:bCs/>
          <w:i/>
          <w:iCs/>
          <w:lang w:val="en-GB"/>
        </w:rPr>
        <w:t>6 March</w:t>
      </w:r>
      <w:r>
        <w:rPr>
          <w:rFonts w:ascii="Calibri Light" w:hAnsi="Calibri Light" w:cs="Calibri Light"/>
          <w:b/>
          <w:bCs/>
          <w:i/>
          <w:iCs/>
          <w:lang w:val="en-GB"/>
        </w:rPr>
        <w:t xml:space="preserve"> 2026</w:t>
      </w:r>
    </w:p>
    <w:tbl>
      <w:tblPr>
        <w:tblStyle w:val="Grigliatabella"/>
        <w:tblW w:w="0" w:type="auto"/>
        <w:tblLook w:val="04A0" w:firstRow="1" w:lastRow="0" w:firstColumn="1" w:lastColumn="0" w:noHBand="0" w:noVBand="1"/>
      </w:tblPr>
      <w:tblGrid>
        <w:gridCol w:w="9628"/>
      </w:tblGrid>
      <w:tr w:rsidR="00CE7BBD" w:rsidRPr="002D6B61" w14:paraId="33B7CDD2" w14:textId="77777777" w:rsidTr="003535EB">
        <w:tc>
          <w:tcPr>
            <w:tcW w:w="10456" w:type="dxa"/>
          </w:tcPr>
          <w:p w14:paraId="27BE6083" w14:textId="77777777" w:rsidR="00CE7BBD" w:rsidRPr="002B247B" w:rsidRDefault="00CE7BBD" w:rsidP="003535EB">
            <w:pPr>
              <w:spacing w:line="360" w:lineRule="auto"/>
              <w:rPr>
                <w:rFonts w:ascii="Calibri Light" w:hAnsi="Calibri Light" w:cs="Calibri Light"/>
                <w:b/>
                <w:bCs/>
                <w:sz w:val="22"/>
                <w:szCs w:val="22"/>
                <w:lang w:val="en-GB"/>
              </w:rPr>
            </w:pPr>
            <w:proofErr w:type="spellStart"/>
            <w:r w:rsidRPr="002B247B">
              <w:rPr>
                <w:rFonts w:ascii="Calibri Light" w:hAnsi="Calibri Light" w:cs="Calibri Light"/>
                <w:b/>
                <w:bCs/>
                <w:sz w:val="22"/>
                <w:szCs w:val="22"/>
                <w:lang w:val="en-GB"/>
              </w:rPr>
              <w:t>C</w:t>
            </w:r>
            <w:proofErr w:type="spellEnd"/>
            <w:r w:rsidRPr="002B247B">
              <w:rPr>
                <w:rFonts w:ascii="Calibri Light" w:hAnsi="Calibri Light" w:cs="Calibri Light"/>
                <w:b/>
                <w:bCs/>
                <w:sz w:val="22"/>
                <w:szCs w:val="22"/>
                <w:lang w:val="en-GB"/>
              </w:rPr>
              <w:t>luster 1 Health – Destination: Staying healthy in a rapidly changing society</w:t>
            </w:r>
            <w:r>
              <w:rPr>
                <w:rStyle w:val="Rimandonotadichiusura"/>
                <w:rFonts w:ascii="Calibri Light" w:hAnsi="Calibri Light" w:cs="Calibri Light"/>
                <w:b/>
                <w:bCs/>
                <w:sz w:val="22"/>
                <w:szCs w:val="22"/>
                <w:lang w:val="en-GB"/>
              </w:rPr>
              <w:endnoteReference w:id="1"/>
            </w:r>
          </w:p>
          <w:p w14:paraId="4D894D0B" w14:textId="77777777" w:rsidR="00CE7BBD" w:rsidRPr="002B247B" w:rsidRDefault="00CE7BBD" w:rsidP="003535EB">
            <w:pPr>
              <w:spacing w:line="360" w:lineRule="auto"/>
              <w:rPr>
                <w:rFonts w:ascii="Calibri Light" w:hAnsi="Calibri Light" w:cs="Calibri Light"/>
                <w:sz w:val="22"/>
                <w:szCs w:val="22"/>
                <w:lang w:val="en-GB"/>
              </w:rPr>
            </w:pPr>
            <w:r w:rsidRPr="002B247B">
              <w:rPr>
                <w:rFonts w:ascii="Calibri Light" w:hAnsi="Calibri Light" w:cs="Calibri Light"/>
                <w:sz w:val="22"/>
                <w:szCs w:val="22"/>
                <w:lang w:val="en-GB"/>
              </w:rPr>
              <w:t xml:space="preserve">RIA – expected EU contribution: 9-10 million EUR – two projects funded </w:t>
            </w:r>
          </w:p>
          <w:p w14:paraId="275D7577" w14:textId="77777777" w:rsidR="00CE7BBD" w:rsidRPr="002B247B" w:rsidRDefault="00CE7BBD" w:rsidP="003535EB">
            <w:pPr>
              <w:spacing w:line="360" w:lineRule="auto"/>
              <w:rPr>
                <w:rFonts w:ascii="Calibri Light" w:hAnsi="Calibri Light" w:cs="Calibri Light"/>
                <w:sz w:val="22"/>
                <w:szCs w:val="22"/>
                <w:lang w:val="en-GB"/>
              </w:rPr>
            </w:pPr>
            <w:r w:rsidRPr="002B247B">
              <w:rPr>
                <w:rFonts w:ascii="Calibri Light" w:hAnsi="Calibri Light" w:cs="Calibri Light"/>
                <w:sz w:val="22"/>
                <w:szCs w:val="22"/>
                <w:lang w:val="en-GB"/>
              </w:rPr>
              <w:t>Cumulative threshold: 12 (4 each criterion)</w:t>
            </w:r>
          </w:p>
          <w:p w14:paraId="4770213C" w14:textId="77777777" w:rsidR="00CE7BBD" w:rsidRPr="002B247B" w:rsidRDefault="00CE7BBD" w:rsidP="003535EB">
            <w:pPr>
              <w:spacing w:line="360" w:lineRule="auto"/>
              <w:rPr>
                <w:rFonts w:ascii="Calibri Light" w:hAnsi="Calibri Light" w:cs="Calibri Light"/>
                <w:i/>
                <w:iCs/>
                <w:sz w:val="22"/>
                <w:szCs w:val="22"/>
                <w:lang w:val="en-GB"/>
              </w:rPr>
            </w:pPr>
            <w:r w:rsidRPr="002B247B">
              <w:rPr>
                <w:rFonts w:ascii="Calibri Light" w:hAnsi="Calibri Light" w:cs="Calibri Light"/>
                <w:sz w:val="22"/>
                <w:szCs w:val="22"/>
                <w:lang w:val="en-GB"/>
              </w:rPr>
              <w:t xml:space="preserve">Opening: 10 Feb 2026 – Deadline: </w:t>
            </w:r>
            <w:r w:rsidRPr="002B247B">
              <w:rPr>
                <w:rFonts w:ascii="Calibri Light" w:hAnsi="Calibri Light" w:cs="Calibri Light"/>
                <w:sz w:val="22"/>
                <w:szCs w:val="22"/>
                <w:u w:val="single"/>
                <w:lang w:val="en-GB"/>
              </w:rPr>
              <w:t>16 April 2026</w:t>
            </w:r>
          </w:p>
        </w:tc>
      </w:tr>
    </w:tbl>
    <w:p w14:paraId="17D6099D" w14:textId="77777777" w:rsidR="00CE7BBD" w:rsidRDefault="00CE7BBD"/>
    <w:tbl>
      <w:tblPr>
        <w:tblStyle w:val="Grigliatabella"/>
        <w:tblW w:w="0" w:type="auto"/>
        <w:tblLook w:val="04A0" w:firstRow="1" w:lastRow="0" w:firstColumn="1" w:lastColumn="0" w:noHBand="0" w:noVBand="1"/>
      </w:tblPr>
      <w:tblGrid>
        <w:gridCol w:w="4062"/>
        <w:gridCol w:w="5566"/>
      </w:tblGrid>
      <w:tr w:rsidR="00CE7BBD" w:rsidRPr="002B247B" w14:paraId="0B58BFC1" w14:textId="77777777" w:rsidTr="00B265AB">
        <w:tc>
          <w:tcPr>
            <w:tcW w:w="9628" w:type="dxa"/>
            <w:gridSpan w:val="2"/>
          </w:tcPr>
          <w:p w14:paraId="5E555989" w14:textId="2C50CA36" w:rsidR="00CE7BBD" w:rsidRPr="002B247B" w:rsidRDefault="00CE7BBD" w:rsidP="003535EB">
            <w:pPr>
              <w:rPr>
                <w:rFonts w:ascii="Calibri Light" w:hAnsi="Calibri Light" w:cs="Calibri Light"/>
                <w:b/>
                <w:bCs/>
                <w:lang w:val="en-GB"/>
              </w:rPr>
            </w:pPr>
            <w:r w:rsidRPr="002B247B">
              <w:rPr>
                <w:rFonts w:ascii="Calibri Light" w:hAnsi="Calibri Light" w:cs="Calibri Light"/>
                <w:b/>
                <w:bCs/>
                <w:lang w:val="en-GB"/>
              </w:rPr>
              <w:t>FAQ – 2</w:t>
            </w:r>
            <w:r w:rsidR="00B265AB">
              <w:rPr>
                <w:rFonts w:ascii="Calibri Light" w:hAnsi="Calibri Light" w:cs="Calibri Light"/>
                <w:b/>
                <w:bCs/>
                <w:lang w:val="en-GB"/>
              </w:rPr>
              <w:t xml:space="preserve">6 </w:t>
            </w:r>
            <w:proofErr w:type="gramStart"/>
            <w:r w:rsidR="00B265AB">
              <w:rPr>
                <w:rFonts w:ascii="Calibri Light" w:hAnsi="Calibri Light" w:cs="Calibri Light"/>
                <w:b/>
                <w:bCs/>
                <w:lang w:val="en-GB"/>
              </w:rPr>
              <w:t>march</w:t>
            </w:r>
            <w:proofErr w:type="gramEnd"/>
            <w:r w:rsidRPr="002B247B">
              <w:rPr>
                <w:rFonts w:ascii="Calibri Light" w:hAnsi="Calibri Light" w:cs="Calibri Light"/>
                <w:b/>
                <w:bCs/>
                <w:lang w:val="en-GB"/>
              </w:rPr>
              <w:t xml:space="preserve"> 2026</w:t>
            </w:r>
          </w:p>
        </w:tc>
      </w:tr>
      <w:tr w:rsidR="00CE7BBD" w:rsidRPr="002D6B61" w14:paraId="4284E562" w14:textId="77777777" w:rsidTr="00B265AB">
        <w:trPr>
          <w:trHeight w:val="1055"/>
        </w:trPr>
        <w:tc>
          <w:tcPr>
            <w:tcW w:w="4062" w:type="dxa"/>
            <w:shd w:val="clear" w:color="auto" w:fill="DAE9F7" w:themeFill="text2" w:themeFillTint="1A"/>
          </w:tcPr>
          <w:p w14:paraId="66C10090" w14:textId="67DBA3C9" w:rsidR="00CE7BBD" w:rsidRPr="00B265AB" w:rsidRDefault="00B265AB" w:rsidP="003535EB">
            <w:pPr>
              <w:rPr>
                <w:rFonts w:ascii="Calibri" w:hAnsi="Calibri" w:cs="Calibri"/>
                <w:sz w:val="22"/>
                <w:szCs w:val="22"/>
                <w:lang w:val="en-GB"/>
              </w:rPr>
            </w:pPr>
            <w:r w:rsidRPr="00B265AB">
              <w:rPr>
                <w:rFonts w:ascii="Calibri" w:hAnsi="Calibri" w:cs="Calibri"/>
                <w:sz w:val="22"/>
                <w:szCs w:val="22"/>
                <w:lang w:val="en-GB"/>
              </w:rPr>
              <w:t>In the context of topic HORIZON-HLTH-2026-01-STAYHLTH-02, what is meant by primary intervention?</w:t>
            </w:r>
          </w:p>
        </w:tc>
        <w:tc>
          <w:tcPr>
            <w:tcW w:w="5566" w:type="dxa"/>
            <w:shd w:val="clear" w:color="auto" w:fill="DAE9F7" w:themeFill="text2" w:themeFillTint="1A"/>
          </w:tcPr>
          <w:p w14:paraId="153F9006" w14:textId="1460A085" w:rsidR="00CE7BBD" w:rsidRPr="00B265AB" w:rsidRDefault="00B265AB" w:rsidP="003535EB">
            <w:pPr>
              <w:rPr>
                <w:rFonts w:ascii="Calibri" w:hAnsi="Calibri" w:cs="Calibri"/>
                <w:sz w:val="22"/>
                <w:szCs w:val="22"/>
                <w:lang w:val="en-GB"/>
              </w:rPr>
            </w:pPr>
            <w:r w:rsidRPr="00B265AB">
              <w:rPr>
                <w:rFonts w:ascii="Calibri" w:hAnsi="Calibri" w:cs="Calibri"/>
                <w:sz w:val="22"/>
                <w:szCs w:val="22"/>
                <w:lang w:val="en-GB"/>
              </w:rPr>
              <w:t>Proposals are expected to address behavioural interventions contributing to the primary prevention of the NCDs. Primary prevention refers to interventions aimed at preventing the onset of disease by addressing modifiable risk factors before disease develops. Within this topic, this includes behavioural interventions targeting modifiable risk factors among youth (12–25 years), such as unhealthy diet, physical inactivity, tobacco use and harmful alcohol consumption, among others.</w:t>
            </w:r>
          </w:p>
        </w:tc>
      </w:tr>
      <w:tr w:rsidR="00B265AB" w:rsidRPr="002D6B61" w14:paraId="43BEF569" w14:textId="77777777" w:rsidTr="00B265AB">
        <w:trPr>
          <w:trHeight w:val="1055"/>
        </w:trPr>
        <w:tc>
          <w:tcPr>
            <w:tcW w:w="4062" w:type="dxa"/>
            <w:shd w:val="clear" w:color="auto" w:fill="DAE9F7" w:themeFill="text2" w:themeFillTint="1A"/>
          </w:tcPr>
          <w:p w14:paraId="3BBE3AEC" w14:textId="3C9619CE" w:rsidR="00B265AB" w:rsidRPr="00B265AB" w:rsidRDefault="00B265AB" w:rsidP="003535EB">
            <w:pPr>
              <w:rPr>
                <w:rFonts w:ascii="Calibri" w:hAnsi="Calibri" w:cs="Calibri"/>
                <w:sz w:val="22"/>
                <w:szCs w:val="22"/>
                <w:lang w:val="en-GB"/>
              </w:rPr>
            </w:pPr>
            <w:r w:rsidRPr="00B265AB">
              <w:rPr>
                <w:rFonts w:ascii="Calibri" w:hAnsi="Calibri" w:cs="Calibri"/>
                <w:sz w:val="22"/>
                <w:szCs w:val="22"/>
                <w:lang w:val="en-GB"/>
              </w:rPr>
              <w:t>In the context of topic HORIZON-HLTH-2026-01-STAYHLTH-02, is there a list of top NCDs? The footnote 60 refers to a WHO document on the epidemiology of communicable diseases.</w:t>
            </w:r>
          </w:p>
        </w:tc>
        <w:tc>
          <w:tcPr>
            <w:tcW w:w="5566" w:type="dxa"/>
            <w:shd w:val="clear" w:color="auto" w:fill="DAE9F7" w:themeFill="text2" w:themeFillTint="1A"/>
          </w:tcPr>
          <w:p w14:paraId="4B7CE99F" w14:textId="77777777"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For the purpose of this topic, “top NCDs” refers to the most prevalent and highest-burden non-communicable diseases (NCDs - </w:t>
            </w:r>
            <w:hyperlink r:id="rId7" w:tgtFrame="_blank" w:history="1">
              <w:r w:rsidRPr="00B265AB">
                <w:rPr>
                  <w:rStyle w:val="Collegamentoipertestuale"/>
                  <w:rFonts w:ascii="Calibri" w:hAnsi="Calibri" w:cs="Calibri"/>
                  <w:sz w:val="22"/>
                  <w:szCs w:val="22"/>
                  <w:lang w:val="en-GB"/>
                </w:rPr>
                <w:t>Noncommunicable diseases</w:t>
              </w:r>
            </w:hyperlink>
            <w:r w:rsidRPr="00B265AB">
              <w:rPr>
                <w:rFonts w:ascii="Calibri" w:hAnsi="Calibri" w:cs="Calibri"/>
                <w:sz w:val="22"/>
                <w:szCs w:val="22"/>
                <w:lang w:val="en-GB"/>
              </w:rPr>
              <w:t>), as recognised in established international public health monitoring frameworks (e.g. WHO fact sheets, WHO Global NCD Monitoring Framework, Global Burden of Disease assessments).</w:t>
            </w:r>
          </w:p>
          <w:p w14:paraId="121B5F7E" w14:textId="77777777"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These frameworks consistently identify cardiovascular diseases, diabetes and chronic respiratory diseases, together with cancers, as the principal NCD groups responsible for the largest share of global morbidity and mortality. However, please note that in line with the call text, cancer is explicitly excluded from the scope of this topic. Nevertheless, other NCDs, such as mental health conditions (</w:t>
            </w:r>
            <w:hyperlink r:id="rId8" w:tgtFrame="_blank" w:history="1">
              <w:r w:rsidRPr="00B265AB">
                <w:rPr>
                  <w:rStyle w:val="Collegamentoipertestuale"/>
                  <w:rFonts w:ascii="Calibri" w:hAnsi="Calibri" w:cs="Calibri"/>
                  <w:sz w:val="22"/>
                  <w:szCs w:val="22"/>
                  <w:lang w:val="en-GB"/>
                </w:rPr>
                <w:t>World Mental Health Report</w:t>
              </w:r>
            </w:hyperlink>
            <w:r w:rsidRPr="00B265AB">
              <w:rPr>
                <w:rFonts w:ascii="Calibri" w:hAnsi="Calibri" w:cs="Calibri"/>
                <w:sz w:val="22"/>
                <w:szCs w:val="22"/>
                <w:lang w:val="en-GB"/>
              </w:rPr>
              <w:t>) can be considered, where justified by epidemiological evidence, relevant to the target population.</w:t>
            </w:r>
          </w:p>
          <w:p w14:paraId="0BE74E99" w14:textId="7AF9D797" w:rsidR="00B265AB" w:rsidRPr="00B265AB" w:rsidRDefault="00B265AB" w:rsidP="003535EB">
            <w:pPr>
              <w:rPr>
                <w:rFonts w:ascii="Calibri" w:hAnsi="Calibri" w:cs="Calibri"/>
                <w:sz w:val="22"/>
                <w:szCs w:val="22"/>
                <w:lang w:val="en-GB"/>
              </w:rPr>
            </w:pPr>
            <w:r w:rsidRPr="00B265AB">
              <w:rPr>
                <w:rFonts w:ascii="Calibri" w:hAnsi="Calibri" w:cs="Calibri"/>
                <w:sz w:val="22"/>
                <w:szCs w:val="22"/>
                <w:lang w:val="en-GB"/>
              </w:rPr>
              <w:t xml:space="preserve">Accordingly, applicants must clearly justify the specific NCD(s) targeted, </w:t>
            </w:r>
            <w:proofErr w:type="gramStart"/>
            <w:r w:rsidRPr="00B265AB">
              <w:rPr>
                <w:rFonts w:ascii="Calibri" w:hAnsi="Calibri" w:cs="Calibri"/>
                <w:sz w:val="22"/>
                <w:szCs w:val="22"/>
                <w:lang w:val="en-GB"/>
              </w:rPr>
              <w:t>taking into account</w:t>
            </w:r>
            <w:proofErr w:type="gramEnd"/>
            <w:r w:rsidRPr="00B265AB">
              <w:rPr>
                <w:rFonts w:ascii="Calibri" w:hAnsi="Calibri" w:cs="Calibri"/>
                <w:sz w:val="22"/>
                <w:szCs w:val="22"/>
                <w:lang w:val="en-GB"/>
              </w:rPr>
              <w:t xml:space="preserve"> the specific target group(s) studied, demonstrating alignment with internationally recognised classifications and burden-of-disease evidence.</w:t>
            </w:r>
          </w:p>
        </w:tc>
      </w:tr>
      <w:tr w:rsidR="00B265AB" w:rsidRPr="002D6B61" w14:paraId="149BFE2F" w14:textId="77777777" w:rsidTr="00B265AB">
        <w:trPr>
          <w:trHeight w:val="1055"/>
        </w:trPr>
        <w:tc>
          <w:tcPr>
            <w:tcW w:w="4062" w:type="dxa"/>
            <w:shd w:val="clear" w:color="auto" w:fill="DAE9F7" w:themeFill="text2" w:themeFillTint="1A"/>
          </w:tcPr>
          <w:p w14:paraId="6A5D0FAA" w14:textId="05048E7F" w:rsidR="00B265AB" w:rsidRPr="00B265AB" w:rsidRDefault="00B265AB" w:rsidP="003535EB">
            <w:pPr>
              <w:rPr>
                <w:rFonts w:ascii="Calibri" w:hAnsi="Calibri" w:cs="Calibri"/>
                <w:sz w:val="22"/>
                <w:szCs w:val="22"/>
                <w:lang w:val="en-GB"/>
              </w:rPr>
            </w:pPr>
            <w:r w:rsidRPr="00B265AB">
              <w:rPr>
                <w:rFonts w:ascii="Calibri" w:hAnsi="Calibri" w:cs="Calibri"/>
                <w:sz w:val="22"/>
                <w:szCs w:val="22"/>
                <w:lang w:val="en-GB"/>
              </w:rPr>
              <w:t>I envisage including a clinical study/trial/investigation/cohort in my proposal. Where can I find more information?</w:t>
            </w:r>
          </w:p>
        </w:tc>
        <w:tc>
          <w:tcPr>
            <w:tcW w:w="5566" w:type="dxa"/>
            <w:shd w:val="clear" w:color="auto" w:fill="DAE9F7" w:themeFill="text2" w:themeFillTint="1A"/>
          </w:tcPr>
          <w:p w14:paraId="25C3AF30" w14:textId="77777777"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Please note that the definition of clinical studies, together with additional useful information can be found in the introduction of Health Cluster Work Programme part for 2026-2027.</w:t>
            </w:r>
          </w:p>
          <w:p w14:paraId="5F248FBD" w14:textId="77777777"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Additionally, we would like to bring to your attention the fact that the World Health Organization (WHO) has published a “</w:t>
            </w:r>
            <w:hyperlink r:id="rId9" w:tgtFrame="_blank" w:history="1">
              <w:r w:rsidRPr="00B265AB">
                <w:rPr>
                  <w:rStyle w:val="Collegamentoipertestuale"/>
                  <w:rFonts w:ascii="Calibri" w:hAnsi="Calibri" w:cs="Calibri"/>
                  <w:sz w:val="22"/>
                  <w:szCs w:val="22"/>
                  <w:lang w:val="en-GB"/>
                </w:rPr>
                <w:t>Guidance for best practices for clinical trials</w:t>
              </w:r>
            </w:hyperlink>
            <w:r w:rsidRPr="00B265AB">
              <w:rPr>
                <w:rFonts w:ascii="Calibri" w:hAnsi="Calibri" w:cs="Calibri"/>
                <w:sz w:val="22"/>
                <w:szCs w:val="22"/>
                <w:lang w:val="en-GB"/>
              </w:rPr>
              <w:t xml:space="preserve">”. </w:t>
            </w:r>
            <w:r w:rsidRPr="00B265AB">
              <w:rPr>
                <w:rFonts w:ascii="Calibri" w:hAnsi="Calibri" w:cs="Calibri"/>
                <w:sz w:val="22"/>
                <w:szCs w:val="22"/>
                <w:lang w:val="en-GB"/>
              </w:rPr>
              <w:lastRenderedPageBreak/>
              <w:t xml:space="preserve">You are not </w:t>
            </w:r>
            <w:proofErr w:type="gramStart"/>
            <w:r w:rsidRPr="00B265AB">
              <w:rPr>
                <w:rFonts w:ascii="Calibri" w:hAnsi="Calibri" w:cs="Calibri"/>
                <w:sz w:val="22"/>
                <w:szCs w:val="22"/>
                <w:lang w:val="en-GB"/>
              </w:rPr>
              <w:t>required not</w:t>
            </w:r>
            <w:proofErr w:type="gramEnd"/>
            <w:r w:rsidRPr="00B265AB">
              <w:rPr>
                <w:rFonts w:ascii="Calibri" w:hAnsi="Calibri" w:cs="Calibri"/>
                <w:sz w:val="22"/>
                <w:szCs w:val="22"/>
                <w:lang w:val="en-GB"/>
              </w:rPr>
              <w:t xml:space="preserve"> follow this guidance, however we encourage you to do so.</w:t>
            </w:r>
          </w:p>
          <w:p w14:paraId="18AB348F" w14:textId="77777777"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 xml:space="preserve">Finally, we would also like to encourage you to consider the latest innovations and advances in the clinical trial design and research methods </w:t>
            </w:r>
            <w:proofErr w:type="gramStart"/>
            <w:r w:rsidRPr="00B265AB">
              <w:rPr>
                <w:rFonts w:ascii="Calibri" w:hAnsi="Calibri" w:cs="Calibri"/>
                <w:sz w:val="22"/>
                <w:szCs w:val="22"/>
                <w:lang w:val="en-GB"/>
              </w:rPr>
              <w:t>in order to</w:t>
            </w:r>
            <w:proofErr w:type="gramEnd"/>
            <w:r w:rsidRPr="00B265AB">
              <w:rPr>
                <w:rFonts w:ascii="Calibri" w:hAnsi="Calibri" w:cs="Calibri"/>
                <w:sz w:val="22"/>
                <w:szCs w:val="22"/>
                <w:lang w:val="en-GB"/>
              </w:rPr>
              <w:t xml:space="preserve"> evaluate promising interventions allowing shorter development timings.</w:t>
            </w:r>
          </w:p>
          <w:p w14:paraId="0F2EE1E0" w14:textId="77777777" w:rsidR="00B265AB" w:rsidRPr="00B265AB" w:rsidRDefault="00B265AB" w:rsidP="003535EB">
            <w:pPr>
              <w:rPr>
                <w:rFonts w:ascii="Calibri" w:hAnsi="Calibri" w:cs="Calibri"/>
                <w:sz w:val="22"/>
                <w:szCs w:val="22"/>
                <w:lang w:val="en-GB"/>
              </w:rPr>
            </w:pPr>
          </w:p>
        </w:tc>
      </w:tr>
      <w:tr w:rsidR="00B265AB" w:rsidRPr="002D6B61" w14:paraId="3218047C" w14:textId="77777777" w:rsidTr="00B265AB">
        <w:trPr>
          <w:trHeight w:val="1055"/>
        </w:trPr>
        <w:tc>
          <w:tcPr>
            <w:tcW w:w="4062" w:type="dxa"/>
            <w:shd w:val="clear" w:color="auto" w:fill="DAE9F7" w:themeFill="text2" w:themeFillTint="1A"/>
          </w:tcPr>
          <w:p w14:paraId="0B71D4D0" w14:textId="53722958" w:rsidR="00B265AB" w:rsidRPr="00B265AB" w:rsidRDefault="00B265AB" w:rsidP="003535EB">
            <w:pPr>
              <w:rPr>
                <w:rFonts w:ascii="Calibri" w:hAnsi="Calibri" w:cs="Calibri"/>
                <w:sz w:val="22"/>
                <w:szCs w:val="22"/>
                <w:lang w:val="en-GB"/>
              </w:rPr>
            </w:pPr>
            <w:hyperlink r:id="rId10" w:history="1">
              <w:r w:rsidRPr="00B265AB">
                <w:rPr>
                  <w:rFonts w:ascii="Calibri" w:hAnsi="Calibri" w:cs="Calibri"/>
                  <w:sz w:val="22"/>
                  <w:szCs w:val="22"/>
                  <w:lang w:val="en-GB"/>
                </w:rPr>
                <w:t xml:space="preserve">In the context of topic HORIZON-HLTH-2026-01-STAYHLTH-02, the footnote 60 refers to WHO "Basic epidemiology" but does not include examples of link between NCDs &amp; </w:t>
              </w:r>
              <w:proofErr w:type="spellStart"/>
              <w:r w:rsidRPr="00B265AB">
                <w:rPr>
                  <w:rFonts w:ascii="Calibri" w:hAnsi="Calibri" w:cs="Calibri"/>
                  <w:sz w:val="22"/>
                  <w:szCs w:val="22"/>
                  <w:lang w:val="en-GB"/>
                </w:rPr>
                <w:t>behaviors</w:t>
              </w:r>
              <w:proofErr w:type="spellEnd"/>
              <w:r w:rsidRPr="00B265AB">
                <w:rPr>
                  <w:rFonts w:ascii="Calibri" w:hAnsi="Calibri" w:cs="Calibri"/>
                  <w:sz w:val="22"/>
                  <w:szCs w:val="22"/>
                  <w:lang w:val="en-GB"/>
                </w:rPr>
                <w:t>. What is it meant for?</w:t>
              </w:r>
            </w:hyperlink>
          </w:p>
        </w:tc>
        <w:tc>
          <w:tcPr>
            <w:tcW w:w="5566" w:type="dxa"/>
            <w:shd w:val="clear" w:color="auto" w:fill="DAE9F7" w:themeFill="text2" w:themeFillTint="1A"/>
          </w:tcPr>
          <w:p w14:paraId="28FDF7CC" w14:textId="7788D345" w:rsidR="00B265AB" w:rsidRPr="00B265AB" w:rsidRDefault="00B265AB" w:rsidP="00B265AB">
            <w:pPr>
              <w:rPr>
                <w:rFonts w:ascii="Calibri" w:hAnsi="Calibri" w:cs="Calibri"/>
                <w:sz w:val="22"/>
                <w:szCs w:val="22"/>
                <w:lang w:val="en-GB"/>
              </w:rPr>
            </w:pPr>
            <w:r w:rsidRPr="00B265AB">
              <w:rPr>
                <w:rFonts w:ascii="Calibri" w:hAnsi="Calibri" w:cs="Calibri"/>
                <w:sz w:val="22"/>
                <w:szCs w:val="22"/>
                <w:lang w:val="en-GB"/>
              </w:rPr>
              <w:t>This reference is meant to define what is meant with "top" in the idea of "top NCDs", not to give evidence of the link between NCDs and behaviours. There is a lot of research on this relation. Furthermore, we do not want to influence applicants in the choice of subject; hence, we have not provided any references to specific research on NCDs-behaviour.</w:t>
            </w:r>
          </w:p>
        </w:tc>
      </w:tr>
      <w:tr w:rsidR="00B265AB" w:rsidRPr="002D6B61" w14:paraId="5BF86ACD" w14:textId="77777777" w:rsidTr="00B265AB">
        <w:trPr>
          <w:trHeight w:val="1055"/>
        </w:trPr>
        <w:tc>
          <w:tcPr>
            <w:tcW w:w="4062" w:type="dxa"/>
          </w:tcPr>
          <w:p w14:paraId="3F9B419A" w14:textId="5A3624D6"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In the context of topic HORIZON-HLTH-2026-01-STAYHLTH-02, the text mentions that the action should implement existing interventions. What is meant by interventions? </w:t>
            </w:r>
          </w:p>
        </w:tc>
        <w:tc>
          <w:tcPr>
            <w:tcW w:w="5566" w:type="dxa"/>
          </w:tcPr>
          <w:p w14:paraId="42308F5B" w14:textId="6A2FF8FC"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The topic refers to the implementation of </w:t>
            </w:r>
            <w:r w:rsidRPr="00B265AB">
              <w:rPr>
                <w:rFonts w:ascii="Calibri Light" w:hAnsi="Calibri Light" w:cs="Calibri Light"/>
                <w:b/>
                <w:bCs/>
                <w:sz w:val="22"/>
                <w:szCs w:val="22"/>
                <w:lang w:val="en-GB"/>
              </w:rPr>
              <w:t>already existing evidence-based behavioural interventions</w:t>
            </w:r>
            <w:r w:rsidRPr="00B265AB">
              <w:rPr>
                <w:rFonts w:ascii="Calibri Light" w:hAnsi="Calibri Light" w:cs="Calibri Light"/>
                <w:sz w:val="22"/>
                <w:szCs w:val="22"/>
                <w:lang w:val="en-GB"/>
              </w:rPr>
              <w:t>. As the topic specifies under the “Scope”, adjusting, deploying, assessing and measuring the success of the intervention(s) can be included in the research work.</w:t>
            </w:r>
          </w:p>
        </w:tc>
      </w:tr>
      <w:tr w:rsidR="00B265AB" w:rsidRPr="002D6B61" w14:paraId="3809B4D2" w14:textId="77777777" w:rsidTr="00B265AB">
        <w:tc>
          <w:tcPr>
            <w:tcW w:w="4062" w:type="dxa"/>
          </w:tcPr>
          <w:p w14:paraId="7F60CB12"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In the topic HORIZON-HLTH-2026-01-STAYHLTH-02, can we include wider age brackets (e.g. 12–18 and 19–25), covering the whole range mentioned in the call, and explain that the exact study population will be defined after looking at preliminary data?</w:t>
            </w:r>
          </w:p>
        </w:tc>
        <w:tc>
          <w:tcPr>
            <w:tcW w:w="5566" w:type="dxa"/>
          </w:tcPr>
          <w:p w14:paraId="3F5B7603"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 xml:space="preserve">Provided this is scientifically justified, it could be possible to include wider age brackets. However, </w:t>
            </w:r>
            <w:r w:rsidRPr="00B265AB">
              <w:rPr>
                <w:rFonts w:ascii="Calibri Light" w:hAnsi="Calibri Light" w:cs="Calibri Light"/>
                <w:b/>
                <w:bCs/>
                <w:sz w:val="22"/>
                <w:szCs w:val="22"/>
                <w:lang w:val="en-GB"/>
              </w:rPr>
              <w:t>the topic does not foresee supporting a piloting phase for establishing the best scenario based on preliminary data</w:t>
            </w:r>
            <w:r w:rsidRPr="00B265AB">
              <w:rPr>
                <w:rFonts w:ascii="Calibri Light" w:hAnsi="Calibri Light" w:cs="Calibri Light"/>
                <w:sz w:val="22"/>
                <w:szCs w:val="22"/>
                <w:lang w:val="en-GB"/>
              </w:rPr>
              <w:t>.</w:t>
            </w:r>
          </w:p>
          <w:p w14:paraId="32CB3053"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b/>
                <w:bCs/>
                <w:sz w:val="22"/>
                <w:szCs w:val="22"/>
                <w:lang w:val="en-GB"/>
              </w:rPr>
              <w:t>Data should be available</w:t>
            </w:r>
            <w:r w:rsidRPr="00B265AB">
              <w:rPr>
                <w:rFonts w:ascii="Calibri Light" w:hAnsi="Calibri Light" w:cs="Calibri Light"/>
                <w:sz w:val="22"/>
                <w:szCs w:val="22"/>
                <w:lang w:val="en-GB"/>
              </w:rPr>
              <w:t xml:space="preserve"> prior to or be collected at the beginning of the EC-supported research work.</w:t>
            </w:r>
          </w:p>
        </w:tc>
      </w:tr>
      <w:tr w:rsidR="00B265AB" w:rsidRPr="002D6B61" w14:paraId="5874AF92" w14:textId="77777777" w:rsidTr="00B265AB">
        <w:tc>
          <w:tcPr>
            <w:tcW w:w="4062" w:type="dxa"/>
          </w:tcPr>
          <w:p w14:paraId="676ABFDE"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Does the proposal have to cover the full 12–25 age range, or would focusing on a justified subset still be acceptable?</w:t>
            </w:r>
          </w:p>
        </w:tc>
        <w:tc>
          <w:tcPr>
            <w:tcW w:w="5566" w:type="dxa"/>
          </w:tcPr>
          <w:p w14:paraId="054F90DA"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 xml:space="preserve">Research work can </w:t>
            </w:r>
            <w:r w:rsidRPr="00B265AB">
              <w:rPr>
                <w:rFonts w:ascii="Calibri Light" w:hAnsi="Calibri Light" w:cs="Calibri Light"/>
                <w:b/>
                <w:bCs/>
                <w:sz w:val="22"/>
                <w:szCs w:val="22"/>
                <w:lang w:val="en-GB"/>
              </w:rPr>
              <w:t xml:space="preserve">focus on a subset of the youth population </w:t>
            </w:r>
            <w:r w:rsidRPr="00B265AB">
              <w:rPr>
                <w:rFonts w:ascii="Calibri Light" w:hAnsi="Calibri Light" w:cs="Calibri Light"/>
                <w:sz w:val="22"/>
                <w:szCs w:val="22"/>
                <w:lang w:val="en-GB"/>
              </w:rPr>
              <w:t xml:space="preserve">aged 12-25. Naturally, a rationale is always </w:t>
            </w:r>
            <w:r w:rsidRPr="00B265AB">
              <w:rPr>
                <w:rFonts w:ascii="Calibri Light" w:hAnsi="Calibri Light" w:cs="Calibri Light"/>
                <w:b/>
                <w:bCs/>
                <w:sz w:val="22"/>
                <w:szCs w:val="22"/>
                <w:lang w:val="en-GB"/>
              </w:rPr>
              <w:t>needed to substantiate</w:t>
            </w:r>
            <w:r w:rsidRPr="00B265AB">
              <w:rPr>
                <w:rFonts w:ascii="Calibri Light" w:hAnsi="Calibri Light" w:cs="Calibri Light"/>
                <w:sz w:val="22"/>
                <w:szCs w:val="22"/>
                <w:lang w:val="en-GB"/>
              </w:rPr>
              <w:t xml:space="preserve"> why the choice has been made.</w:t>
            </w:r>
          </w:p>
        </w:tc>
      </w:tr>
      <w:tr w:rsidR="00B265AB" w:rsidRPr="002D6B61" w14:paraId="6842C764" w14:textId="77777777" w:rsidTr="00B265AB">
        <w:tc>
          <w:tcPr>
            <w:tcW w:w="4062" w:type="dxa"/>
          </w:tcPr>
          <w:p w14:paraId="0F804C9C"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Where can I find more information about the eligibility condition for the protection of European communication networks?</w:t>
            </w:r>
          </w:p>
        </w:tc>
        <w:tc>
          <w:tcPr>
            <w:tcW w:w="5566" w:type="dxa"/>
          </w:tcPr>
          <w:p w14:paraId="4807A49C"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The protection of European communication networks has been identified as an important security interest of the Union and its Member States. For further details, you are advised to refer to the introduction of the destination under which this topic falls (as found in the Health Cluster work programme part for 2026-27).</w:t>
            </w:r>
          </w:p>
        </w:tc>
      </w:tr>
      <w:tr w:rsidR="00B265AB" w:rsidRPr="002D6B61" w14:paraId="3178D8E6" w14:textId="77777777" w:rsidTr="00B265AB">
        <w:tc>
          <w:tcPr>
            <w:tcW w:w="4062" w:type="dxa"/>
          </w:tcPr>
          <w:p w14:paraId="64E8358C"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Does the topic HORIZON-HLTH-2026-01-STAYHLTH-02 aim to develop further existing digital tools, or a new digital tool?</w:t>
            </w:r>
          </w:p>
        </w:tc>
        <w:tc>
          <w:tcPr>
            <w:tcW w:w="5566" w:type="dxa"/>
          </w:tcPr>
          <w:p w14:paraId="3B5B1D1E"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The topic is for a health prevention-driven RIA and any potential digital tool that is developed, should be used in the implementation of the behavioural interventions for the youth.</w:t>
            </w:r>
          </w:p>
        </w:tc>
      </w:tr>
      <w:tr w:rsidR="00B265AB" w:rsidRPr="002D6B61" w14:paraId="2CBC6474" w14:textId="77777777" w:rsidTr="00B265AB">
        <w:tc>
          <w:tcPr>
            <w:tcW w:w="4062" w:type="dxa"/>
          </w:tcPr>
          <w:p w14:paraId="0425B099"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b/>
                <w:bCs/>
                <w:sz w:val="22"/>
                <w:szCs w:val="22"/>
                <w:lang w:val="en-GB"/>
              </w:rPr>
              <w:t>When might the right to “object to a transfer of ownership or to the exclusive licensing of results” be executed? How is this condition expected to affect applicants?</w:t>
            </w:r>
          </w:p>
        </w:tc>
        <w:tc>
          <w:tcPr>
            <w:tcW w:w="5566" w:type="dxa"/>
          </w:tcPr>
          <w:p w14:paraId="34F4842C"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The Health Cluster Work Programme part for 2026-2027 includes a “right to object” condition for nearly all topics, giving the granting authority the right to object to a transfer of ownership or to the exclusive licensing of results, up to 4 years after the end of the action.</w:t>
            </w:r>
          </w:p>
          <w:p w14:paraId="237F545E" w14:textId="77777777" w:rsidR="00B265AB" w:rsidRPr="00B265AB" w:rsidRDefault="00B265AB" w:rsidP="00B265AB">
            <w:pPr>
              <w:rPr>
                <w:rFonts w:ascii="Calibri Light" w:hAnsi="Calibri Light" w:cs="Calibri Light"/>
                <w:sz w:val="22"/>
                <w:szCs w:val="22"/>
                <w:lang w:val="en-GB"/>
              </w:rPr>
            </w:pPr>
          </w:p>
          <w:p w14:paraId="66D45F74"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 xml:space="preserve">For applicants and beneficiaries, little is expected to change, as in previous years this condition had been part of the General Annexes, having legal force across all parts of Horizon Europe (including the Health Cluster topics). In practise, the granting authority may invoke the “right to object” under specific conditions, which so far has </w:t>
            </w:r>
            <w:r w:rsidRPr="00B265AB">
              <w:rPr>
                <w:rFonts w:ascii="Calibri Light" w:hAnsi="Calibri Light" w:cs="Calibri Light"/>
                <w:sz w:val="22"/>
                <w:szCs w:val="22"/>
                <w:lang w:val="en-GB"/>
              </w:rPr>
              <w:lastRenderedPageBreak/>
              <w:t>happened in very rare occasions over the many years of Horizon Europe.</w:t>
            </w:r>
          </w:p>
          <w:p w14:paraId="7C5EE604" w14:textId="77777777" w:rsidR="00B265AB" w:rsidRPr="00B265AB" w:rsidRDefault="00B265AB" w:rsidP="00B265AB">
            <w:pPr>
              <w:rPr>
                <w:rFonts w:ascii="Calibri Light" w:hAnsi="Calibri Light" w:cs="Calibri Light"/>
                <w:sz w:val="22"/>
                <w:szCs w:val="22"/>
                <w:lang w:val="en-GB"/>
              </w:rPr>
            </w:pPr>
          </w:p>
          <w:p w14:paraId="5FAB117A"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u w:val="single"/>
                <w:lang w:val="en-GB"/>
              </w:rPr>
              <w:t>More details below from Annex 5 of the General Model Grant Agreement:</w:t>
            </w:r>
          </w:p>
          <w:p w14:paraId="40CA500F"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Where the call conditions in Horizon Europe actions provide for the right to object to transfers or licensing, the granting authority may — up to four years after the end of the action — object to a transfer of ownership or the exclusive licensing of results, if:</w:t>
            </w:r>
          </w:p>
          <w:p w14:paraId="2C6E2804"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the</w:t>
            </w:r>
            <w:proofErr w:type="gramEnd"/>
            <w:r w:rsidRPr="00B265AB">
              <w:rPr>
                <w:rFonts w:ascii="Calibri Light" w:hAnsi="Calibri Light" w:cs="Calibri Light"/>
                <w:sz w:val="22"/>
                <w:szCs w:val="22"/>
                <w:lang w:val="en-GB"/>
              </w:rPr>
              <w:t xml:space="preserve"> beneficiaries which generated the results have received funding under the grant</w:t>
            </w:r>
          </w:p>
          <w:p w14:paraId="1901EFC2"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it</w:t>
            </w:r>
            <w:proofErr w:type="gramEnd"/>
            <w:r w:rsidRPr="00B265AB">
              <w:rPr>
                <w:rFonts w:ascii="Calibri Light" w:hAnsi="Calibri Light" w:cs="Calibri Light"/>
                <w:sz w:val="22"/>
                <w:szCs w:val="22"/>
                <w:lang w:val="en-GB"/>
              </w:rPr>
              <w:t xml:space="preserve"> is to a legal entity established in a non-EU country not associated with Horizon Europe, and</w:t>
            </w:r>
          </w:p>
          <w:p w14:paraId="7A5791D5"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the</w:t>
            </w:r>
            <w:proofErr w:type="gramEnd"/>
            <w:r w:rsidRPr="00B265AB">
              <w:rPr>
                <w:rFonts w:ascii="Calibri Light" w:hAnsi="Calibri Light" w:cs="Calibri Light"/>
                <w:sz w:val="22"/>
                <w:szCs w:val="22"/>
                <w:lang w:val="en-GB"/>
              </w:rPr>
              <w:t xml:space="preserve"> granting authority considers that the transfer or licence is not in line with EU interests.</w:t>
            </w:r>
          </w:p>
          <w:p w14:paraId="0C82869A" w14:textId="77777777" w:rsidR="00B265AB" w:rsidRPr="00B265AB" w:rsidRDefault="00B265AB" w:rsidP="00B265AB">
            <w:pPr>
              <w:rPr>
                <w:rFonts w:ascii="Calibri Light" w:hAnsi="Calibri Light" w:cs="Calibri Light"/>
                <w:sz w:val="22"/>
                <w:szCs w:val="22"/>
                <w:lang w:val="en-GB"/>
              </w:rPr>
            </w:pPr>
          </w:p>
          <w:p w14:paraId="06727CEB"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Beneficiaries that intend to transfer ownership or grant an exclusive licence must formally notify the granting authority before the intended transfer or licensing takes place and:</w:t>
            </w:r>
          </w:p>
          <w:p w14:paraId="712EF4F9"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identify</w:t>
            </w:r>
            <w:proofErr w:type="gramEnd"/>
            <w:r w:rsidRPr="00B265AB">
              <w:rPr>
                <w:rFonts w:ascii="Calibri Light" w:hAnsi="Calibri Light" w:cs="Calibri Light"/>
                <w:sz w:val="22"/>
                <w:szCs w:val="22"/>
                <w:lang w:val="en-GB"/>
              </w:rPr>
              <w:t xml:space="preserve"> the specific results concerned</w:t>
            </w:r>
          </w:p>
          <w:p w14:paraId="3178D7BD"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describe</w:t>
            </w:r>
            <w:proofErr w:type="gramEnd"/>
            <w:r w:rsidRPr="00B265AB">
              <w:rPr>
                <w:rFonts w:ascii="Calibri Light" w:hAnsi="Calibri Light" w:cs="Calibri Light"/>
                <w:sz w:val="22"/>
                <w:szCs w:val="22"/>
                <w:lang w:val="en-GB"/>
              </w:rPr>
              <w:t xml:space="preserve"> in detail the new owner or licensee and the planned or potential exploitation of the results, and</w:t>
            </w:r>
          </w:p>
          <w:p w14:paraId="0B5BA0A5" w14:textId="08FFC682"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·include a reasoned assessment of the likely impact of the transfer or licence on EU interests, in particular regarding competitiveness as well as consistency with ethical principles and security considerations.</w:t>
            </w:r>
          </w:p>
          <w:p w14:paraId="74EB9F70" w14:textId="33D18C4A"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The granting authority may request additional information.</w:t>
            </w:r>
          </w:p>
          <w:p w14:paraId="4255C41C" w14:textId="34A18755"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If the granting authority decides to object to a transfer or exclusive licence, it must formally notify the beneficiary concerned within 60 days of receiving notification (or any additional information it has requested).</w:t>
            </w:r>
          </w:p>
          <w:p w14:paraId="6F5149F9"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No transfer or licensing may take place in the following cases:</w:t>
            </w:r>
          </w:p>
          <w:p w14:paraId="1C8FD390"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pending</w:t>
            </w:r>
            <w:proofErr w:type="gramEnd"/>
            <w:r w:rsidRPr="00B265AB">
              <w:rPr>
                <w:rFonts w:ascii="Calibri Light" w:hAnsi="Calibri Light" w:cs="Calibri Light"/>
                <w:sz w:val="22"/>
                <w:szCs w:val="22"/>
                <w:lang w:val="en-GB"/>
              </w:rPr>
              <w:t xml:space="preserve"> the granting authority decision, within the period set out above</w:t>
            </w:r>
          </w:p>
          <w:p w14:paraId="54B409C3"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if</w:t>
            </w:r>
            <w:proofErr w:type="gramEnd"/>
            <w:r w:rsidRPr="00B265AB">
              <w:rPr>
                <w:rFonts w:ascii="Calibri Light" w:hAnsi="Calibri Light" w:cs="Calibri Light"/>
                <w:sz w:val="22"/>
                <w:szCs w:val="22"/>
                <w:lang w:val="en-GB"/>
              </w:rPr>
              <w:t xml:space="preserve"> the granting authority objects</w:t>
            </w:r>
          </w:p>
          <w:p w14:paraId="5C21141D" w14:textId="5ACE3A5A"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w:t>
            </w:r>
            <w:proofErr w:type="gramStart"/>
            <w:r w:rsidRPr="00B265AB">
              <w:rPr>
                <w:rFonts w:ascii="Calibri Light" w:hAnsi="Calibri Light" w:cs="Calibri Light"/>
                <w:sz w:val="22"/>
                <w:szCs w:val="22"/>
                <w:lang w:val="en-GB"/>
              </w:rPr>
              <w:t>until</w:t>
            </w:r>
            <w:proofErr w:type="gramEnd"/>
            <w:r w:rsidRPr="00B265AB">
              <w:rPr>
                <w:rFonts w:ascii="Calibri Light" w:hAnsi="Calibri Light" w:cs="Calibri Light"/>
                <w:sz w:val="22"/>
                <w:szCs w:val="22"/>
                <w:lang w:val="en-GB"/>
              </w:rPr>
              <w:t xml:space="preserve"> the conditions are complied with, if the granting authority objection comes with conditions.</w:t>
            </w:r>
          </w:p>
          <w:p w14:paraId="7C0D7E8A" w14:textId="77777777" w:rsidR="00B265AB" w:rsidRPr="00B265AB" w:rsidRDefault="00B265AB" w:rsidP="00B265AB">
            <w:pPr>
              <w:rPr>
                <w:rFonts w:ascii="Calibri Light" w:hAnsi="Calibri Light" w:cs="Calibri Light"/>
                <w:sz w:val="22"/>
                <w:szCs w:val="22"/>
                <w:lang w:val="en-GB"/>
              </w:rPr>
            </w:pPr>
            <w:r w:rsidRPr="00B265AB">
              <w:rPr>
                <w:rFonts w:ascii="Calibri Light" w:hAnsi="Calibri Light" w:cs="Calibri Light"/>
                <w:sz w:val="22"/>
                <w:szCs w:val="22"/>
                <w:lang w:val="en-GB"/>
              </w:rPr>
              <w:t>A beneficiary may formally notify a request to waive the right to object regarding intended transfers or grants to a specifically identified third party, if measures safeguarding EU interests are in place. If the granting authority agrees, it will formally notify the beneficiary concerned within 60 days of receiving notification (or any additional information requested).</w:t>
            </w:r>
          </w:p>
        </w:tc>
      </w:tr>
    </w:tbl>
    <w:p w14:paraId="7C068BC3" w14:textId="77777777" w:rsidR="00DB482F" w:rsidRDefault="00DB482F"/>
    <w:sectPr w:rsidR="00DB482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2FD0" w14:textId="77777777" w:rsidR="00027413" w:rsidRDefault="00027413" w:rsidP="00CE7BBD">
      <w:r>
        <w:separator/>
      </w:r>
    </w:p>
  </w:endnote>
  <w:endnote w:type="continuationSeparator" w:id="0">
    <w:p w14:paraId="3F912F01" w14:textId="77777777" w:rsidR="00027413" w:rsidRDefault="00027413" w:rsidP="00CE7BBD">
      <w:r>
        <w:continuationSeparator/>
      </w:r>
    </w:p>
  </w:endnote>
  <w:endnote w:id="1">
    <w:p w14:paraId="2D5FAEA8" w14:textId="77777777" w:rsidR="00CE7BBD" w:rsidRPr="000E54CB" w:rsidRDefault="00CE7BBD" w:rsidP="00CE7BBD">
      <w:pPr>
        <w:pStyle w:val="Testonotadichiusura"/>
        <w:rPr>
          <w:lang w:val="en-GB"/>
        </w:rPr>
      </w:pPr>
      <w:r w:rsidRPr="000E54CB">
        <w:rPr>
          <w:rStyle w:val="Rimandonotadichiusura"/>
          <w:lang w:val="en-GB"/>
        </w:rPr>
        <w:endnoteRef/>
      </w:r>
      <w:r w:rsidRPr="000E54CB">
        <w:rPr>
          <w:lang w:val="en-GB"/>
        </w:rPr>
        <w:t xml:space="preserve"> The destination “Staying healthy in a rapidly changing society” supports Horizon Europe’s strategic orientations towards a more resilient, inclusive and competitive Europe and the digital transition. Its overarching goal is to ensure that people of all ages in the EU remain healthy, resilient and independent, despite rapid societal change, through healthier lifestyles and behaviours, supportive environments, evidence-informed health policies, and effective solutions for health promotion, disease prevention, monitoring and rehabilitation.</w:t>
      </w:r>
    </w:p>
    <w:p w14:paraId="4ABC33CE" w14:textId="77777777" w:rsidR="00CE7BBD" w:rsidRPr="000E54CB" w:rsidRDefault="00CE7BBD" w:rsidP="00CE7BBD">
      <w:pPr>
        <w:pStyle w:val="Testonotadichiusura"/>
        <w:rPr>
          <w:lang w:val="en-GB"/>
        </w:rPr>
      </w:pPr>
      <w:r w:rsidRPr="000E54CB">
        <w:rPr>
          <w:lang w:val="en-GB"/>
        </w:rPr>
        <w:t>The destination responds to major public health challenges, including the high burden of preventable premature mortality, growing health inequalities, and the increasing prevalence of disabilities and chronic conditions across the life course. It emphasises primary prevention, early detection and individual empowerment, placing health literacy and the ability of citizens to manage their own physical and mental health at the centre of future public health strategies.</w:t>
      </w:r>
    </w:p>
    <w:p w14:paraId="311C3855" w14:textId="77777777" w:rsidR="00CE7BBD" w:rsidRPr="000E54CB" w:rsidRDefault="00CE7BBD" w:rsidP="00CE7BBD">
      <w:pPr>
        <w:pStyle w:val="Testonotadichiusura"/>
        <w:rPr>
          <w:lang w:val="en-GB"/>
        </w:rPr>
      </w:pPr>
      <w:r w:rsidRPr="000E54CB">
        <w:rPr>
          <w:lang w:val="en-GB"/>
        </w:rPr>
        <w:t xml:space="preserve">Research and Innovation actions are expected </w:t>
      </w:r>
      <w:r w:rsidRPr="000E54CB">
        <w:rPr>
          <w:b/>
          <w:bCs/>
          <w:lang w:val="en-GB"/>
        </w:rPr>
        <w:t xml:space="preserve">to strengthen coordination among healthcare, education, community and policy stakeholders, promote integration across care settings, and leverage real-world health data and digital technologies. </w:t>
      </w:r>
      <w:r w:rsidRPr="000E54CB">
        <w:rPr>
          <w:lang w:val="en-GB"/>
        </w:rPr>
        <w:t xml:space="preserve">Funded projects should contribute to an interconnected European health data ecosystem, supporting initiatives such as the </w:t>
      </w:r>
      <w:r w:rsidRPr="000E54CB">
        <w:rPr>
          <w:b/>
          <w:bCs/>
          <w:lang w:val="en-GB"/>
        </w:rPr>
        <w:t>European Health Data Space (EHDS) and the European Open Science Cloud (EOSC),</w:t>
      </w:r>
      <w:r w:rsidRPr="000E54CB">
        <w:rPr>
          <w:lang w:val="en-GB"/>
        </w:rPr>
        <w:t xml:space="preserve"> and advancing the digital transformation of health and care in the EU.</w:t>
      </w:r>
    </w:p>
    <w:p w14:paraId="22A9EE32" w14:textId="77777777" w:rsidR="00CE7BBD" w:rsidRPr="000E54CB" w:rsidRDefault="00CE7BBD" w:rsidP="00CE7BBD">
      <w:pPr>
        <w:pStyle w:val="Testonotadichiusura"/>
        <w:rPr>
          <w:lang w:val="en-GB"/>
        </w:rPr>
      </w:pPr>
      <w:r>
        <w:rPr>
          <w:lang w:val="en-GB"/>
        </w:rPr>
        <w:t>The</w:t>
      </w:r>
      <w:r w:rsidRPr="000E54CB">
        <w:rPr>
          <w:lang w:val="en-GB"/>
        </w:rPr>
        <w:t xml:space="preserve"> destination focuses on two main priorities:</w:t>
      </w:r>
    </w:p>
    <w:p w14:paraId="6C23BB6B" w14:textId="77777777" w:rsidR="00CE7BBD" w:rsidRPr="000E54CB" w:rsidRDefault="00CE7BBD" w:rsidP="00CE7BBD">
      <w:pPr>
        <w:pStyle w:val="Testonotadichiusura"/>
        <w:rPr>
          <w:lang w:val="en-GB"/>
        </w:rPr>
      </w:pPr>
      <w:r w:rsidRPr="000E54CB">
        <w:rPr>
          <w:lang w:val="en-GB"/>
        </w:rPr>
        <w:t>(i) addressing disabilities across the life course to support independent living and social inclusion, in line with the EU Strategy for the Rights of Persons with Disabilities; and</w:t>
      </w:r>
    </w:p>
    <w:p w14:paraId="31D9EE1C" w14:textId="77777777" w:rsidR="00CE7BBD" w:rsidRPr="000E54CB" w:rsidRDefault="00CE7BBD" w:rsidP="00CE7BBD">
      <w:pPr>
        <w:pStyle w:val="Testonotadichiusura"/>
        <w:rPr>
          <w:lang w:val="en-GB"/>
        </w:rPr>
      </w:pPr>
      <w:r w:rsidRPr="000E54CB">
        <w:rPr>
          <w:lang w:val="en-GB"/>
        </w:rPr>
        <w:t xml:space="preserve">(ii) developing behavioural interventions as primary prevention for Non-Communicable Diseases (NCDs), with a strong emphasis on promoting healthy habits and sustained behavioural change among children and young people, in line with the </w:t>
      </w:r>
      <w:r w:rsidRPr="000E54CB">
        <w:rPr>
          <w:b/>
          <w:bCs/>
          <w:lang w:val="en-GB"/>
        </w:rPr>
        <w:t>Healthier Together EU initiative.</w:t>
      </w:r>
    </w:p>
    <w:p w14:paraId="109073C7" w14:textId="77777777" w:rsidR="00CE7BBD" w:rsidRPr="000E54CB" w:rsidRDefault="00CE7BBD" w:rsidP="00CE7BBD">
      <w:pPr>
        <w:pStyle w:val="Testonotadichiusura"/>
        <w:rPr>
          <w:lang w:val="en-GB"/>
        </w:rPr>
      </w:pPr>
      <w:r w:rsidRPr="000E54CB">
        <w:rPr>
          <w:lang w:val="en-GB"/>
        </w:rPr>
        <w:t>Overall, proposals under this destination should demonstrate a credible pathway to empowering citizens—especially young people and vulnerable groups—to adopt and maintain healthier lifestyles, reduce preventable disease and health inequalities, and support more effective, personalised and knowledge-based health promotion and prevention policies.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77C2" w14:textId="77777777" w:rsidR="00027413" w:rsidRDefault="00027413" w:rsidP="00CE7BBD">
      <w:r>
        <w:separator/>
      </w:r>
    </w:p>
  </w:footnote>
  <w:footnote w:type="continuationSeparator" w:id="0">
    <w:p w14:paraId="5102040D" w14:textId="77777777" w:rsidR="00027413" w:rsidRDefault="00027413" w:rsidP="00CE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92C06"/>
    <w:multiLevelType w:val="hybridMultilevel"/>
    <w:tmpl w:val="87903EE0"/>
    <w:lvl w:ilvl="0" w:tplc="F998D16A">
      <w:start w:val="26"/>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922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BD"/>
    <w:rsid w:val="00027413"/>
    <w:rsid w:val="002A3327"/>
    <w:rsid w:val="006B3FC6"/>
    <w:rsid w:val="00AA40B4"/>
    <w:rsid w:val="00B265AB"/>
    <w:rsid w:val="00C96A9D"/>
    <w:rsid w:val="00CE7BBD"/>
    <w:rsid w:val="00DA59D3"/>
    <w:rsid w:val="00DB482F"/>
    <w:rsid w:val="00F00A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C12D3B"/>
  <w15:chartTrackingRefBased/>
  <w15:docId w15:val="{478124FF-2BDE-A642-89CB-A4B25205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BBD"/>
  </w:style>
  <w:style w:type="paragraph" w:styleId="Titolo1">
    <w:name w:val="heading 1"/>
    <w:basedOn w:val="Normale"/>
    <w:next w:val="Normale"/>
    <w:link w:val="Titolo1Carattere"/>
    <w:uiPriority w:val="9"/>
    <w:qFormat/>
    <w:rsid w:val="00CE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E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7B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E7B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7B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E7B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7B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7B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7B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7B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E7B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E7B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E7B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E7B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E7B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7B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7B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7B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7BB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7B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7B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7B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7B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7BBD"/>
    <w:rPr>
      <w:i/>
      <w:iCs/>
      <w:color w:val="404040" w:themeColor="text1" w:themeTint="BF"/>
    </w:rPr>
  </w:style>
  <w:style w:type="paragraph" w:styleId="Paragrafoelenco">
    <w:name w:val="List Paragraph"/>
    <w:basedOn w:val="Normale"/>
    <w:uiPriority w:val="34"/>
    <w:qFormat/>
    <w:rsid w:val="00CE7BBD"/>
    <w:pPr>
      <w:ind w:left="720"/>
      <w:contextualSpacing/>
    </w:pPr>
  </w:style>
  <w:style w:type="character" w:styleId="Enfasiintensa">
    <w:name w:val="Intense Emphasis"/>
    <w:basedOn w:val="Carpredefinitoparagrafo"/>
    <w:uiPriority w:val="21"/>
    <w:qFormat/>
    <w:rsid w:val="00CE7BBD"/>
    <w:rPr>
      <w:i/>
      <w:iCs/>
      <w:color w:val="0F4761" w:themeColor="accent1" w:themeShade="BF"/>
    </w:rPr>
  </w:style>
  <w:style w:type="paragraph" w:styleId="Citazioneintensa">
    <w:name w:val="Intense Quote"/>
    <w:basedOn w:val="Normale"/>
    <w:next w:val="Normale"/>
    <w:link w:val="CitazioneintensaCarattere"/>
    <w:uiPriority w:val="30"/>
    <w:qFormat/>
    <w:rsid w:val="00CE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7BBD"/>
    <w:rPr>
      <w:i/>
      <w:iCs/>
      <w:color w:val="0F4761" w:themeColor="accent1" w:themeShade="BF"/>
    </w:rPr>
  </w:style>
  <w:style w:type="character" w:styleId="Riferimentointenso">
    <w:name w:val="Intense Reference"/>
    <w:basedOn w:val="Carpredefinitoparagrafo"/>
    <w:uiPriority w:val="32"/>
    <w:qFormat/>
    <w:rsid w:val="00CE7BBD"/>
    <w:rPr>
      <w:b/>
      <w:bCs/>
      <w:smallCaps/>
      <w:color w:val="0F4761" w:themeColor="accent1" w:themeShade="BF"/>
      <w:spacing w:val="5"/>
    </w:rPr>
  </w:style>
  <w:style w:type="table" w:styleId="Grigliatabella">
    <w:name w:val="Table Grid"/>
    <w:basedOn w:val="Tabellanormale"/>
    <w:uiPriority w:val="39"/>
    <w:rsid w:val="00CE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CE7BBD"/>
    <w:rPr>
      <w:sz w:val="20"/>
      <w:szCs w:val="20"/>
    </w:rPr>
  </w:style>
  <w:style w:type="character" w:customStyle="1" w:styleId="TestonotadichiusuraCarattere">
    <w:name w:val="Testo nota di chiusura Carattere"/>
    <w:basedOn w:val="Carpredefinitoparagrafo"/>
    <w:link w:val="Testonotadichiusura"/>
    <w:uiPriority w:val="99"/>
    <w:semiHidden/>
    <w:rsid w:val="00CE7BBD"/>
    <w:rPr>
      <w:sz w:val="20"/>
      <w:szCs w:val="20"/>
    </w:rPr>
  </w:style>
  <w:style w:type="character" w:styleId="Rimandonotadichiusura">
    <w:name w:val="endnote reference"/>
    <w:basedOn w:val="Carpredefinitoparagrafo"/>
    <w:uiPriority w:val="99"/>
    <w:semiHidden/>
    <w:unhideWhenUsed/>
    <w:rsid w:val="00CE7BBD"/>
    <w:rPr>
      <w:vertAlign w:val="superscript"/>
    </w:rPr>
  </w:style>
  <w:style w:type="character" w:styleId="Collegamentoipertestuale">
    <w:name w:val="Hyperlink"/>
    <w:basedOn w:val="Carpredefinitoparagrafo"/>
    <w:uiPriority w:val="99"/>
    <w:unhideWhenUsed/>
    <w:rsid w:val="00B265AB"/>
    <w:rPr>
      <w:color w:val="467886" w:themeColor="hyperlink"/>
      <w:u w:val="single"/>
    </w:rPr>
  </w:style>
  <w:style w:type="character" w:styleId="Menzionenonrisolta">
    <w:name w:val="Unresolved Mention"/>
    <w:basedOn w:val="Carpredefinitoparagrafo"/>
    <w:uiPriority w:val="99"/>
    <w:semiHidden/>
    <w:unhideWhenUsed/>
    <w:rsid w:val="00B2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mental-health-and-substance-use/world-mental-health-report" TargetMode="External"/><Relationship Id="rId3" Type="http://schemas.openxmlformats.org/officeDocument/2006/relationships/settings" Target="settings.xml"/><Relationship Id="rId7" Type="http://schemas.openxmlformats.org/officeDocument/2006/relationships/hyperlink" Target="https://www.who.int/news-room/fact-sheets/detail/noncommunicable-dis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info/funding-tenders/opportunities/portal/screen/support/faq/85612?topicIdentifier=HORIZON-HLTH-2026-01-STAYHLTH-02&amp;topicIdentifierId=HORIZON-HLTH-2026-01-STAYHLTH-02&amp;isQA=true" TargetMode="External"/><Relationship Id="rId4" Type="http://schemas.openxmlformats.org/officeDocument/2006/relationships/webSettings" Target="webSettings.xml"/><Relationship Id="rId9" Type="http://schemas.openxmlformats.org/officeDocument/2006/relationships/hyperlink" Target="https://www.who.int/publications/i/item/97892400977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Marmora</dc:creator>
  <cp:keywords/>
  <dc:description/>
  <cp:lastModifiedBy>LOREDANA MARMORA</cp:lastModifiedBy>
  <cp:revision>3</cp:revision>
  <dcterms:created xsi:type="dcterms:W3CDTF">2026-02-20T09:04:00Z</dcterms:created>
  <dcterms:modified xsi:type="dcterms:W3CDTF">2026-03-26T20:03:00Z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2026-02-20T09:05:35Z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a4afdd07-963c-4a7e-a16e-2a9a4bbd4b9e</vt:lpwstr>
  </property>
  <property fmtid="{D5CDD505-2E9C-101B-9397-08002B2CF9AE}" pid="8" name="MSIP_Label_5097a60d-5525-435b-8989-8eb48ac0c8cd_ContentBits">
    <vt:lpwstr>0</vt:lpwstr>
  </property>
  <property fmtid="{D5CDD505-2E9C-101B-9397-08002B2CF9AE}" pid="9" name="MSIP_Label_5097a60d-5525-435b-8989-8eb48ac0c8cd_Tag">
    <vt:lpwstr>50, 3, 0, 1</vt:lpwstr>
  </property>
</Properties>
</file>