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BC66" w14:textId="69F29989" w:rsidR="00542C18" w:rsidRPr="00D8458E" w:rsidRDefault="00542C18" w:rsidP="00D8458E">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400"/>
        <w:gridCol w:w="3446"/>
        <w:gridCol w:w="2317"/>
        <w:gridCol w:w="2317"/>
      </w:tblGrid>
      <w:tr w:rsidR="00542C18" w:rsidRPr="000F769F" w14:paraId="5B423D4A"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E9A5A82" w14:textId="77777777"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28F3C0B" w14:textId="4A8C7345"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4</w:t>
            </w:r>
          </w:p>
        </w:tc>
        <w:tc>
          <w:tcPr>
            <w:tcW w:w="2317" w:type="dxa"/>
            <w:tcBorders>
              <w:top w:val="single" w:sz="8" w:space="0" w:color="auto"/>
              <w:left w:val="single" w:sz="8" w:space="0" w:color="auto"/>
              <w:bottom w:val="single" w:sz="8" w:space="0" w:color="auto"/>
              <w:right w:val="single" w:sz="8" w:space="0" w:color="auto"/>
            </w:tcBorders>
          </w:tcPr>
          <w:p w14:paraId="4BFF2D6A"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177E16ED" w14:textId="64B05D39" w:rsidR="00542C18" w:rsidRPr="000F769F" w:rsidRDefault="00542C18" w:rsidP="00E627F2">
            <w:pPr>
              <w:widowControl w:val="0"/>
              <w:spacing w:after="0" w:line="240" w:lineRule="auto"/>
              <w:rPr>
                <w:rFonts w:ascii="Calibri" w:eastAsia="Times New Roman" w:hAnsi="Calibri" w:cs="Calibri"/>
                <w:kern w:val="0"/>
                <w:sz w:val="22"/>
                <w:szCs w:val="22"/>
                <w:highlight w:val="yellow"/>
                <w:lang w:val="en-US"/>
                <w14:ligatures w14:val="none"/>
              </w:rPr>
            </w:pPr>
            <w:r w:rsidRPr="00E627F2">
              <w:rPr>
                <w:rFonts w:ascii="Calibri" w:eastAsia="Times New Roman" w:hAnsi="Calibri" w:cs="Calibri"/>
                <w:kern w:val="0"/>
                <w:sz w:val="22"/>
                <w:szCs w:val="22"/>
                <w:highlight w:val="green"/>
                <w:lang w:val="en-GB"/>
                <w14:ligatures w14:val="none"/>
              </w:rPr>
              <w:t>NIPH</w:t>
            </w:r>
          </w:p>
        </w:tc>
      </w:tr>
      <w:tr w:rsidR="00B973C7" w:rsidRPr="000F769F" w14:paraId="77A22574"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2B3F3C6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808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3FC785C" w14:textId="79458B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Multi-component intervention 1, Co-creation and planning: lower secondary school/early adolescence (age 12-1</w:t>
            </w:r>
            <w:r w:rsidR="007B2C9F">
              <w:rPr>
                <w:rFonts w:ascii="Calibri" w:eastAsia="Times New Roman" w:hAnsi="Calibri" w:cs="Calibri"/>
                <w:kern w:val="0"/>
                <w:sz w:val="22"/>
                <w:szCs w:val="22"/>
                <w:lang w:val="en-GB"/>
                <w14:ligatures w14:val="none"/>
              </w:rPr>
              <w:t>8</w:t>
            </w:r>
            <w:r w:rsidRPr="000F769F">
              <w:rPr>
                <w:rFonts w:ascii="Calibri" w:eastAsia="Times New Roman" w:hAnsi="Calibri" w:cs="Calibri"/>
                <w:kern w:val="0"/>
                <w:sz w:val="22"/>
                <w:szCs w:val="22"/>
                <w:lang w:val="en-GB"/>
                <w14:ligatures w14:val="none"/>
              </w:rPr>
              <w:t>)</w:t>
            </w:r>
          </w:p>
        </w:tc>
      </w:tr>
      <w:tr w:rsidR="00B973C7" w:rsidRPr="000F769F" w14:paraId="272170C7"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283D0A6" w14:textId="1AA13DE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Objectives</w:t>
            </w:r>
          </w:p>
          <w:p w14:paraId="4A4C967E" w14:textId="0873BFCC" w:rsidR="00C103FA" w:rsidRPr="00433C0B" w:rsidRDefault="00433C0B" w:rsidP="00E627F2">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O4.1</w:t>
            </w:r>
            <w:r w:rsidR="00AC2850">
              <w:rPr>
                <w:rFonts w:ascii="Calibri" w:eastAsia="Times New Roman" w:hAnsi="Calibri" w:cs="Calibri"/>
                <w:kern w:val="0"/>
                <w:sz w:val="22"/>
                <w:szCs w:val="22"/>
                <w:lang w:val="en-GB"/>
                <w14:ligatures w14:val="none"/>
              </w:rPr>
              <w:t>:</w:t>
            </w:r>
            <w:r w:rsidR="0039620C" w:rsidRPr="00953161">
              <w:rPr>
                <w:rFonts w:ascii="Calibri" w:eastAsia="Times New Roman" w:hAnsi="Calibri" w:cs="Calibri"/>
                <w:kern w:val="0"/>
                <w:sz w:val="22"/>
                <w:szCs w:val="22"/>
                <w:lang w:val="en-US"/>
                <w14:ligatures w14:val="none"/>
              </w:rPr>
              <w:t xml:space="preserve"> </w:t>
            </w:r>
            <w:r w:rsidR="001165C1">
              <w:rPr>
                <w:rFonts w:ascii="Calibri" w:eastAsia="Times New Roman" w:hAnsi="Calibri" w:cs="Calibri"/>
                <w:kern w:val="0"/>
                <w:sz w:val="22"/>
                <w:szCs w:val="22"/>
                <w:lang w:val="en-US"/>
                <w14:ligatures w14:val="none"/>
              </w:rPr>
              <w:t>Identify, s</w:t>
            </w:r>
            <w:r w:rsidR="003C5E38">
              <w:rPr>
                <w:rFonts w:ascii="Calibri" w:eastAsia="Times New Roman" w:hAnsi="Calibri" w:cs="Calibri"/>
                <w:kern w:val="0"/>
                <w:sz w:val="22"/>
                <w:szCs w:val="22"/>
                <w:lang w:val="en-US"/>
                <w14:ligatures w14:val="none"/>
              </w:rPr>
              <w:t>elect and adapt</w:t>
            </w:r>
            <w:r w:rsidR="00192A32">
              <w:rPr>
                <w:rFonts w:ascii="Calibri" w:eastAsia="Times New Roman" w:hAnsi="Calibri" w:cs="Calibri"/>
                <w:kern w:val="0"/>
                <w:sz w:val="22"/>
                <w:szCs w:val="22"/>
                <w:lang w:val="en-US"/>
                <w14:ligatures w14:val="none"/>
              </w:rPr>
              <w:t xml:space="preserve"> </w:t>
            </w:r>
            <w:r w:rsidR="00755323">
              <w:rPr>
                <w:rFonts w:ascii="Calibri" w:eastAsia="Times New Roman" w:hAnsi="Calibri" w:cs="Calibri"/>
                <w:kern w:val="0"/>
                <w:sz w:val="22"/>
                <w:szCs w:val="22"/>
                <w:lang w:val="en-US"/>
                <w14:ligatures w14:val="none"/>
              </w:rPr>
              <w:t xml:space="preserve">multi-component </w:t>
            </w:r>
            <w:r w:rsidR="00CA1400" w:rsidRPr="00953161">
              <w:rPr>
                <w:rFonts w:ascii="Calibri" w:eastAsia="Times New Roman" w:hAnsi="Calibri" w:cs="Calibri"/>
                <w:kern w:val="0"/>
                <w:sz w:val="22"/>
                <w:szCs w:val="22"/>
                <w:lang w:val="en-US"/>
                <w14:ligatures w14:val="none"/>
              </w:rPr>
              <w:t>interventions target</w:t>
            </w:r>
            <w:r w:rsidR="00186590" w:rsidRPr="00953161">
              <w:rPr>
                <w:rFonts w:ascii="Calibri" w:eastAsia="Times New Roman" w:hAnsi="Calibri" w:cs="Calibri"/>
                <w:kern w:val="0"/>
                <w:sz w:val="22"/>
                <w:szCs w:val="22"/>
                <w:lang w:val="en-US"/>
                <w14:ligatures w14:val="none"/>
              </w:rPr>
              <w:t xml:space="preserve">ing </w:t>
            </w:r>
            <w:r w:rsidR="00AA1EE9">
              <w:rPr>
                <w:rFonts w:ascii="Calibri" w:eastAsia="Times New Roman" w:hAnsi="Calibri" w:cs="Calibri"/>
                <w:kern w:val="0"/>
                <w:sz w:val="22"/>
                <w:szCs w:val="22"/>
                <w:lang w:val="en-US"/>
                <w14:ligatures w14:val="none"/>
              </w:rPr>
              <w:t>obesity, mental health diseases and addictions</w:t>
            </w:r>
          </w:p>
          <w:p w14:paraId="35E82D5F" w14:textId="5B919E52" w:rsidR="00B973C7" w:rsidRPr="000F769F" w:rsidRDefault="00433C0B" w:rsidP="00AC2850">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O4.2</w:t>
            </w:r>
            <w:r w:rsidR="00AC2850">
              <w:rPr>
                <w:rFonts w:ascii="Calibri" w:eastAsia="Times New Roman" w:hAnsi="Calibri" w:cs="Calibri"/>
                <w:kern w:val="0"/>
                <w:sz w:val="22"/>
                <w:szCs w:val="22"/>
                <w:lang w:val="en-US"/>
                <w14:ligatures w14:val="none"/>
              </w:rPr>
              <w:t>:</w:t>
            </w:r>
            <w:r w:rsidR="0039620C" w:rsidRPr="00953161">
              <w:rPr>
                <w:rFonts w:ascii="Calibri" w:eastAsia="Times New Roman" w:hAnsi="Calibri" w:cs="Calibri"/>
                <w:kern w:val="0"/>
                <w:sz w:val="22"/>
                <w:szCs w:val="22"/>
                <w:lang w:val="en-US"/>
                <w14:ligatures w14:val="none"/>
              </w:rPr>
              <w:t xml:space="preserve"> </w:t>
            </w:r>
            <w:r w:rsidR="00E0331F" w:rsidRPr="00953161">
              <w:rPr>
                <w:rFonts w:ascii="Calibri" w:eastAsia="Times New Roman" w:hAnsi="Calibri" w:cs="Calibri"/>
                <w:kern w:val="0"/>
                <w:sz w:val="22"/>
                <w:szCs w:val="22"/>
                <w:lang w:val="en-US"/>
                <w14:ligatures w14:val="none"/>
              </w:rPr>
              <w:t>Explor</w:t>
            </w:r>
            <w:r w:rsidR="00987A72">
              <w:rPr>
                <w:rFonts w:ascii="Calibri" w:eastAsia="Times New Roman" w:hAnsi="Calibri" w:cs="Calibri"/>
                <w:kern w:val="0"/>
                <w:sz w:val="22"/>
                <w:szCs w:val="22"/>
                <w:lang w:val="en-US"/>
                <w14:ligatures w14:val="none"/>
              </w:rPr>
              <w:t>e</w:t>
            </w:r>
            <w:r w:rsidR="00E0331F" w:rsidRPr="00953161">
              <w:rPr>
                <w:rFonts w:ascii="Calibri" w:eastAsia="Times New Roman" w:hAnsi="Calibri" w:cs="Calibri"/>
                <w:kern w:val="0"/>
                <w:sz w:val="22"/>
                <w:szCs w:val="22"/>
                <w:lang w:val="en-US"/>
                <w14:ligatures w14:val="none"/>
              </w:rPr>
              <w:t xml:space="preserve"> </w:t>
            </w:r>
            <w:r w:rsidR="006C297A">
              <w:rPr>
                <w:rFonts w:ascii="Calibri" w:eastAsia="Times New Roman" w:hAnsi="Calibri" w:cs="Calibri"/>
                <w:kern w:val="0"/>
                <w:sz w:val="22"/>
                <w:szCs w:val="22"/>
                <w:lang w:val="en-US"/>
                <w14:ligatures w14:val="none"/>
              </w:rPr>
              <w:t xml:space="preserve">to what extent </w:t>
            </w:r>
            <w:r w:rsidR="001E1005">
              <w:rPr>
                <w:rFonts w:ascii="Calibri" w:eastAsia="Times New Roman" w:hAnsi="Calibri" w:cs="Calibri"/>
                <w:kern w:val="0"/>
                <w:sz w:val="22"/>
                <w:szCs w:val="22"/>
                <w:lang w:val="en-US"/>
                <w14:ligatures w14:val="none"/>
              </w:rPr>
              <w:t xml:space="preserve">meaningful youth involvement and co-creative processes </w:t>
            </w:r>
            <w:r w:rsidR="005700B4">
              <w:rPr>
                <w:rFonts w:ascii="Calibri" w:eastAsia="Times New Roman" w:hAnsi="Calibri" w:cs="Calibri"/>
                <w:kern w:val="0"/>
                <w:sz w:val="22"/>
                <w:szCs w:val="22"/>
                <w:lang w:val="en-US"/>
                <w14:ligatures w14:val="none"/>
              </w:rPr>
              <w:t xml:space="preserve">with </w:t>
            </w:r>
            <w:r w:rsidR="006C297A">
              <w:rPr>
                <w:rFonts w:ascii="Calibri" w:eastAsia="Times New Roman" w:hAnsi="Calibri" w:cs="Calibri"/>
                <w:kern w:val="0"/>
                <w:sz w:val="22"/>
                <w:szCs w:val="22"/>
                <w:lang w:val="en-US"/>
                <w14:ligatures w14:val="none"/>
              </w:rPr>
              <w:t xml:space="preserve">educators, health professionals and parents </w:t>
            </w:r>
            <w:r w:rsidR="00701300">
              <w:rPr>
                <w:rFonts w:ascii="Calibri" w:eastAsia="Times New Roman" w:hAnsi="Calibri" w:cs="Calibri"/>
                <w:kern w:val="0"/>
                <w:sz w:val="22"/>
                <w:szCs w:val="22"/>
                <w:lang w:val="en-US"/>
                <w14:ligatures w14:val="none"/>
              </w:rPr>
              <w:t xml:space="preserve">influence the successful or unsuccessful implementation of </w:t>
            </w:r>
            <w:r w:rsidR="00E11B3F">
              <w:rPr>
                <w:rFonts w:ascii="Calibri" w:eastAsia="Times New Roman" w:hAnsi="Calibri" w:cs="Calibri"/>
                <w:kern w:val="0"/>
                <w:sz w:val="22"/>
                <w:szCs w:val="22"/>
                <w:lang w:val="en-US"/>
                <w14:ligatures w14:val="none"/>
              </w:rPr>
              <w:t>such interventions</w:t>
            </w:r>
            <w:r w:rsidR="00E611A6" w:rsidRPr="00953161">
              <w:rPr>
                <w:rFonts w:ascii="Calibri" w:eastAsia="Times New Roman" w:hAnsi="Calibri" w:cs="Calibri"/>
                <w:kern w:val="0"/>
                <w:sz w:val="22"/>
                <w:szCs w:val="22"/>
                <w:lang w:val="en-US"/>
                <w14:ligatures w14:val="none"/>
              </w:rPr>
              <w:t xml:space="preserve"> </w:t>
            </w:r>
          </w:p>
        </w:tc>
      </w:tr>
      <w:tr w:rsidR="00B973C7" w:rsidRPr="000F769F" w14:paraId="2B34CA30" w14:textId="77777777" w:rsidTr="00105A7A">
        <w:trPr>
          <w:trHeight w:val="11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48F03EE9" w14:textId="656D1F91"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Description of work</w:t>
            </w:r>
          </w:p>
          <w:p w14:paraId="4F3D3368" w14:textId="47C28222" w:rsidR="005324D2" w:rsidRDefault="00B973C7" w:rsidP="005E5289">
            <w:pPr>
              <w:widowControl w:val="0"/>
              <w:spacing w:after="0" w:line="240" w:lineRule="auto"/>
              <w:rPr>
                <w:rFonts w:ascii="Calibri" w:eastAsia="Times New Roman" w:hAnsi="Calibri" w:cs="Calibri"/>
                <w:kern w:val="0"/>
                <w:sz w:val="22"/>
                <w:szCs w:val="22"/>
                <w:lang w:val="en-GB"/>
                <w14:ligatures w14:val="none"/>
              </w:rPr>
            </w:pPr>
            <w:r w:rsidRPr="000F769F">
              <w:rPr>
                <w:rFonts w:ascii="Calibri" w:eastAsia="Times New Roman" w:hAnsi="Calibri" w:cs="Calibri"/>
                <w:b/>
                <w:bCs/>
                <w:kern w:val="0"/>
                <w:sz w:val="22"/>
                <w:szCs w:val="22"/>
                <w:lang w:val="en-GB"/>
                <w14:ligatures w14:val="none"/>
              </w:rPr>
              <w:t>T4.1</w:t>
            </w:r>
            <w:r w:rsidR="007B4DA3">
              <w:rPr>
                <w:rFonts w:ascii="Calibri" w:eastAsia="Times New Roman" w:hAnsi="Calibri" w:cs="Calibri"/>
                <w:b/>
                <w:bCs/>
                <w:kern w:val="0"/>
                <w:sz w:val="22"/>
                <w:szCs w:val="22"/>
                <w:lang w:val="en-GB"/>
                <w14:ligatures w14:val="none"/>
              </w:rPr>
              <w:t xml:space="preserve"> </w:t>
            </w:r>
            <w:r w:rsidR="00D00471">
              <w:rPr>
                <w:rFonts w:ascii="Calibri" w:eastAsia="Times New Roman" w:hAnsi="Calibri" w:cs="Calibri"/>
                <w:b/>
                <w:bCs/>
                <w:kern w:val="0"/>
                <w:sz w:val="22"/>
                <w:szCs w:val="22"/>
                <w:lang w:val="en-GB"/>
                <w14:ligatures w14:val="none"/>
              </w:rPr>
              <w:t xml:space="preserve">Identification and selection of </w:t>
            </w:r>
            <w:r w:rsidR="006A0146">
              <w:rPr>
                <w:rFonts w:ascii="Calibri" w:eastAsia="Times New Roman" w:hAnsi="Calibri" w:cs="Calibri"/>
                <w:b/>
                <w:bCs/>
                <w:kern w:val="0"/>
                <w:sz w:val="22"/>
                <w:szCs w:val="22"/>
                <w:lang w:val="en-GB"/>
                <w14:ligatures w14:val="none"/>
              </w:rPr>
              <w:t>evidence-based intervention</w:t>
            </w:r>
            <w:r w:rsidR="00FB2688">
              <w:rPr>
                <w:rFonts w:ascii="Calibri" w:eastAsia="Times New Roman" w:hAnsi="Calibri" w:cs="Calibri"/>
                <w:b/>
                <w:bCs/>
                <w:kern w:val="0"/>
                <w:sz w:val="22"/>
                <w:szCs w:val="22"/>
                <w:lang w:val="en-GB"/>
                <w14:ligatures w14:val="none"/>
              </w:rPr>
              <w:t xml:space="preserve"> elements</w:t>
            </w:r>
            <w:r w:rsidR="000A0F42">
              <w:rPr>
                <w:rFonts w:ascii="Calibri" w:eastAsia="Times New Roman" w:hAnsi="Calibri" w:cs="Calibri"/>
                <w:b/>
                <w:bCs/>
                <w:kern w:val="0"/>
                <w:sz w:val="22"/>
                <w:szCs w:val="22"/>
                <w:lang w:val="en-GB"/>
                <w14:ligatures w14:val="none"/>
              </w:rPr>
              <w:t xml:space="preserve"> </w:t>
            </w:r>
            <w:r w:rsidR="000A0F42" w:rsidRPr="000A0F42">
              <w:rPr>
                <w:rFonts w:ascii="Calibri" w:eastAsia="Times New Roman" w:hAnsi="Calibri" w:cs="Calibri"/>
                <w:b/>
                <w:bCs/>
                <w:kern w:val="0"/>
                <w:sz w:val="22"/>
                <w:szCs w:val="22"/>
                <w:lang w:val="en-GB"/>
                <w14:ligatures w14:val="none"/>
              </w:rPr>
              <w:t>(</w:t>
            </w:r>
            <w:r w:rsidR="007B0328">
              <w:rPr>
                <w:rFonts w:ascii="Calibri" w:eastAsia="Times New Roman" w:hAnsi="Calibri" w:cs="Calibri"/>
                <w:b/>
                <w:bCs/>
                <w:kern w:val="0"/>
                <w:sz w:val="22"/>
                <w:szCs w:val="22"/>
                <w:lang w:val="en-GB"/>
                <w14:ligatures w14:val="none"/>
              </w:rPr>
              <w:t>NIPH</w:t>
            </w:r>
            <w:r w:rsidR="000A0F42" w:rsidRPr="000A0F42">
              <w:rPr>
                <w:rFonts w:ascii="Calibri" w:eastAsia="Times New Roman" w:hAnsi="Calibri" w:cs="Calibri"/>
                <w:b/>
                <w:bCs/>
                <w:kern w:val="0"/>
                <w:sz w:val="22"/>
                <w:szCs w:val="22"/>
                <w:lang w:val="en-GB"/>
                <w14:ligatures w14:val="none"/>
              </w:rPr>
              <w:t>).</w:t>
            </w:r>
            <w:r w:rsidR="00A7476A">
              <w:rPr>
                <w:rFonts w:ascii="Calibri" w:eastAsia="Times New Roman" w:hAnsi="Calibri" w:cs="Calibri"/>
                <w:b/>
                <w:bCs/>
                <w:kern w:val="0"/>
                <w:sz w:val="22"/>
                <w:szCs w:val="22"/>
                <w:lang w:val="en-GB"/>
                <w14:ligatures w14:val="none"/>
              </w:rPr>
              <w:t xml:space="preserve"> </w:t>
            </w:r>
            <w:r w:rsidR="005324D2" w:rsidRPr="005324D2">
              <w:rPr>
                <w:rFonts w:ascii="Calibri" w:eastAsia="Times New Roman" w:hAnsi="Calibri" w:cs="Calibri"/>
                <w:kern w:val="0"/>
                <w:sz w:val="22"/>
                <w:szCs w:val="22"/>
                <w:lang w:val="en-GB"/>
                <w14:ligatures w14:val="none"/>
              </w:rPr>
              <w:t xml:space="preserve">Z-HEALTH will implement multi-component interventions targeting adolescents aged 12–18 across four policy </w:t>
            </w:r>
            <w:r w:rsidR="005324D2" w:rsidRPr="007B0328">
              <w:rPr>
                <w:rFonts w:ascii="Calibri" w:eastAsia="Times New Roman" w:hAnsi="Calibri" w:cs="Calibri"/>
                <w:kern w:val="0"/>
                <w:sz w:val="22"/>
                <w:szCs w:val="22"/>
                <w:lang w:val="en-GB"/>
                <w14:ligatures w14:val="none"/>
              </w:rPr>
              <w:t>domains: (</w:t>
            </w:r>
            <w:proofErr w:type="spellStart"/>
            <w:r w:rsidR="005324D2" w:rsidRPr="007B0328">
              <w:rPr>
                <w:rFonts w:ascii="Calibri" w:eastAsia="Times New Roman" w:hAnsi="Calibri" w:cs="Calibri"/>
                <w:kern w:val="0"/>
                <w:sz w:val="22"/>
                <w:szCs w:val="22"/>
                <w:lang w:val="en-GB"/>
                <w14:ligatures w14:val="none"/>
              </w:rPr>
              <w:t>i</w:t>
            </w:r>
            <w:proofErr w:type="spellEnd"/>
            <w:r w:rsidR="005324D2" w:rsidRPr="007B0328">
              <w:rPr>
                <w:rFonts w:ascii="Calibri" w:eastAsia="Times New Roman" w:hAnsi="Calibri" w:cs="Calibri"/>
                <w:kern w:val="0"/>
                <w:sz w:val="22"/>
                <w:szCs w:val="22"/>
                <w:lang w:val="en-GB"/>
                <w14:ligatures w14:val="none"/>
              </w:rPr>
              <w:t>) health and digital literacy; (ii) self-management of digital media use; (iii) healthy school environments and behavioural “nudges”; and (iv) resource- and service-oriented interventions. A review of interventions addressing the three target disease areas will be conducted using scientific and grey literature</w:t>
            </w:r>
            <w:r w:rsidR="005324D2" w:rsidRPr="005324D2">
              <w:rPr>
                <w:rFonts w:ascii="Calibri" w:eastAsia="Times New Roman" w:hAnsi="Calibri" w:cs="Calibri"/>
                <w:kern w:val="0"/>
                <w:sz w:val="22"/>
                <w:szCs w:val="22"/>
                <w:lang w:val="en-GB"/>
                <w14:ligatures w14:val="none"/>
              </w:rPr>
              <w:t>. Interventions will be appraised for effectiveness, quality and certainty of evidence, and relevance across the G1–G4 framework, with particular attention to scalability, contextual adaptability, and their potential to reduce social inequalities.</w:t>
            </w:r>
          </w:p>
          <w:p w14:paraId="21BCB87A" w14:textId="7D1CBEE2" w:rsidR="00712133" w:rsidRDefault="00712133" w:rsidP="005E5289">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T4.2 </w:t>
            </w:r>
            <w:r w:rsidR="00142719">
              <w:rPr>
                <w:rFonts w:ascii="Calibri" w:eastAsia="Times New Roman" w:hAnsi="Calibri" w:cs="Calibri"/>
                <w:b/>
                <w:bCs/>
                <w:kern w:val="0"/>
                <w:sz w:val="22"/>
                <w:szCs w:val="22"/>
                <w:lang w:val="en-GB"/>
                <w14:ligatures w14:val="none"/>
              </w:rPr>
              <w:t>Co-creation and involvement process</w:t>
            </w:r>
            <w:r w:rsidR="000A0F42">
              <w:rPr>
                <w:rFonts w:ascii="Calibri" w:eastAsia="Times New Roman" w:hAnsi="Calibri" w:cs="Calibri"/>
                <w:b/>
                <w:bCs/>
                <w:kern w:val="0"/>
                <w:sz w:val="22"/>
                <w:szCs w:val="22"/>
                <w:lang w:val="en-GB"/>
                <w14:ligatures w14:val="none"/>
              </w:rPr>
              <w:t xml:space="preserve"> </w:t>
            </w:r>
            <w:r w:rsidR="00395B68">
              <w:rPr>
                <w:rFonts w:ascii="Calibri" w:eastAsia="Times New Roman" w:hAnsi="Calibri" w:cs="Calibri"/>
                <w:b/>
                <w:bCs/>
                <w:kern w:val="0"/>
                <w:sz w:val="22"/>
                <w:szCs w:val="22"/>
                <w:lang w:val="en-GB"/>
                <w14:ligatures w14:val="none"/>
              </w:rPr>
              <w:t xml:space="preserve">at intervention sites </w:t>
            </w:r>
            <w:r w:rsidR="000A0F42" w:rsidRPr="000A0F42">
              <w:rPr>
                <w:rFonts w:ascii="Calibri" w:eastAsia="Times New Roman" w:hAnsi="Calibri" w:cs="Calibri"/>
                <w:b/>
                <w:bCs/>
                <w:kern w:val="0"/>
                <w:sz w:val="22"/>
                <w:szCs w:val="22"/>
                <w:lang w:val="en-GB"/>
                <w14:ligatures w14:val="none"/>
              </w:rPr>
              <w:t>(</w:t>
            </w:r>
            <w:r w:rsidR="00F33E64">
              <w:rPr>
                <w:rFonts w:ascii="Calibri" w:eastAsia="Times New Roman" w:hAnsi="Calibri" w:cs="Calibri"/>
                <w:b/>
                <w:bCs/>
                <w:kern w:val="0"/>
                <w:sz w:val="22"/>
                <w:szCs w:val="22"/>
                <w:lang w:val="en-GB"/>
                <w14:ligatures w14:val="none"/>
              </w:rPr>
              <w:t>NIPH, PRESS</w:t>
            </w:r>
            <w:r w:rsidR="000A0F42" w:rsidRPr="000A0F42">
              <w:rPr>
                <w:rFonts w:ascii="Calibri" w:eastAsia="Times New Roman" w:hAnsi="Calibri" w:cs="Calibri"/>
                <w:b/>
                <w:bCs/>
                <w:kern w:val="0"/>
                <w:sz w:val="22"/>
                <w:szCs w:val="22"/>
                <w:lang w:val="en-GB"/>
                <w14:ligatures w14:val="none"/>
              </w:rPr>
              <w:t>).</w:t>
            </w:r>
          </w:p>
          <w:p w14:paraId="62F96998" w14:textId="77777777" w:rsidR="00B67B41" w:rsidRDefault="00B67B41" w:rsidP="005E5289">
            <w:pPr>
              <w:widowControl w:val="0"/>
              <w:spacing w:after="0" w:line="240" w:lineRule="auto"/>
              <w:rPr>
                <w:rFonts w:ascii="Calibri" w:eastAsia="Times New Roman" w:hAnsi="Calibri" w:cs="Calibri"/>
                <w:kern w:val="0"/>
                <w:sz w:val="22"/>
                <w:szCs w:val="22"/>
                <w:lang w:val="en-GB"/>
                <w14:ligatures w14:val="none"/>
              </w:rPr>
            </w:pPr>
            <w:r w:rsidRPr="00B67B41">
              <w:rPr>
                <w:rFonts w:ascii="Calibri" w:eastAsia="Times New Roman" w:hAnsi="Calibri" w:cs="Calibri"/>
                <w:kern w:val="0"/>
                <w:sz w:val="22"/>
                <w:szCs w:val="22"/>
                <w:lang w:val="en-GB"/>
                <w14:ligatures w14:val="none"/>
              </w:rPr>
              <w:t>Adolescents will be actively involved across all intervention packages to ensure relevance of content and delivery. In each country, Group Model Building (GMB) sessions will be conducted with adolescents, educators, parents, and health professionals, recruited via youth networks to ensure diversity and gender balance. These sessions will generate shared models of NCD risk behaviours and inform intervention adaptation. Given limited evidence on youth involvement, adolescents’ experiences of participation will be systematically documented.</w:t>
            </w:r>
          </w:p>
          <w:p w14:paraId="0234D609" w14:textId="5BBB16FE" w:rsidR="00D6665B" w:rsidRDefault="006A0146" w:rsidP="00E627F2">
            <w:pPr>
              <w:widowControl w:val="0"/>
              <w:spacing w:after="0" w:line="240" w:lineRule="auto"/>
              <w:rPr>
                <w:rFonts w:ascii="Calibri" w:eastAsia="Times New Roman" w:hAnsi="Calibri" w:cs="Calibri"/>
                <w:kern w:val="0"/>
                <w:sz w:val="22"/>
                <w:szCs w:val="22"/>
                <w:lang w:val="en-GB"/>
                <w14:ligatures w14:val="none"/>
              </w:rPr>
            </w:pPr>
            <w:r w:rsidRPr="00090A88">
              <w:rPr>
                <w:rFonts w:ascii="Calibri" w:eastAsia="Times New Roman" w:hAnsi="Calibri" w:cs="Calibri"/>
                <w:b/>
                <w:bCs/>
                <w:kern w:val="0"/>
                <w:sz w:val="22"/>
                <w:szCs w:val="22"/>
                <w:lang w:val="en-GB"/>
                <w14:ligatures w14:val="none"/>
              </w:rPr>
              <w:t xml:space="preserve">T4.3 Developing </w:t>
            </w:r>
            <w:r w:rsidR="00E24621" w:rsidRPr="00090A88">
              <w:rPr>
                <w:rFonts w:ascii="Calibri" w:eastAsia="Times New Roman" w:hAnsi="Calibri" w:cs="Calibri"/>
                <w:b/>
                <w:bCs/>
                <w:kern w:val="0"/>
                <w:sz w:val="22"/>
                <w:szCs w:val="22"/>
                <w:lang w:val="en-GB"/>
                <w14:ligatures w14:val="none"/>
              </w:rPr>
              <w:t>intervention package</w:t>
            </w:r>
            <w:r w:rsidR="00CA2978" w:rsidRPr="00090A88">
              <w:rPr>
                <w:rFonts w:ascii="Calibri" w:eastAsia="Times New Roman" w:hAnsi="Calibri" w:cs="Calibri"/>
                <w:b/>
                <w:bCs/>
                <w:kern w:val="0"/>
                <w:sz w:val="22"/>
                <w:szCs w:val="22"/>
                <w:lang w:val="en-GB"/>
                <w14:ligatures w14:val="none"/>
              </w:rPr>
              <w:t>s</w:t>
            </w:r>
            <w:r w:rsidR="00AB272C" w:rsidRPr="00090A88">
              <w:rPr>
                <w:rFonts w:ascii="Calibri" w:eastAsia="Times New Roman" w:hAnsi="Calibri" w:cs="Calibri"/>
                <w:b/>
                <w:bCs/>
                <w:kern w:val="0"/>
                <w:sz w:val="22"/>
                <w:szCs w:val="22"/>
                <w:lang w:val="en-GB"/>
                <w14:ligatures w14:val="none"/>
              </w:rPr>
              <w:t xml:space="preserve"> and implementation plans</w:t>
            </w:r>
            <w:r w:rsidR="00391DBA">
              <w:rPr>
                <w:rFonts w:ascii="Calibri" w:eastAsia="Times New Roman" w:hAnsi="Calibri" w:cs="Calibri"/>
                <w:b/>
                <w:bCs/>
                <w:kern w:val="0"/>
                <w:sz w:val="22"/>
                <w:szCs w:val="22"/>
                <w:lang w:val="en-GB"/>
                <w14:ligatures w14:val="none"/>
              </w:rPr>
              <w:t xml:space="preserve"> (NIPH, ICL, NYC, EHN</w:t>
            </w:r>
            <w:r w:rsidR="0096223D">
              <w:rPr>
                <w:rFonts w:ascii="Calibri" w:eastAsia="Times New Roman" w:hAnsi="Calibri" w:cs="Calibri"/>
                <w:b/>
                <w:bCs/>
                <w:kern w:val="0"/>
                <w:sz w:val="22"/>
                <w:szCs w:val="22"/>
                <w:lang w:val="en-GB"/>
                <w14:ligatures w14:val="none"/>
              </w:rPr>
              <w:t>, NIJZ</w:t>
            </w:r>
            <w:r w:rsidR="00391DBA">
              <w:rPr>
                <w:rFonts w:ascii="Calibri" w:eastAsia="Times New Roman" w:hAnsi="Calibri" w:cs="Calibri"/>
                <w:b/>
                <w:bCs/>
                <w:kern w:val="0"/>
                <w:sz w:val="22"/>
                <w:szCs w:val="22"/>
                <w:lang w:val="en-GB"/>
                <w14:ligatures w14:val="none"/>
              </w:rPr>
              <w:t>)</w:t>
            </w:r>
            <w:r w:rsidR="00A7476A">
              <w:rPr>
                <w:rFonts w:ascii="Calibri" w:eastAsia="Times New Roman" w:hAnsi="Calibri" w:cs="Calibri"/>
                <w:b/>
                <w:bCs/>
                <w:kern w:val="0"/>
                <w:sz w:val="22"/>
                <w:szCs w:val="22"/>
                <w:lang w:val="en-GB"/>
                <w14:ligatures w14:val="none"/>
              </w:rPr>
              <w:t xml:space="preserve">. </w:t>
            </w:r>
            <w:r w:rsidR="00820FB2" w:rsidRPr="00820FB2">
              <w:rPr>
                <w:rFonts w:ascii="Calibri" w:eastAsia="Times New Roman" w:hAnsi="Calibri" w:cs="Calibri"/>
                <w:kern w:val="0"/>
                <w:sz w:val="22"/>
                <w:szCs w:val="22"/>
                <w:lang w:val="en-GB"/>
                <w14:ligatures w14:val="none"/>
              </w:rPr>
              <w:t>Interventions will be described in terms of theoretical foundations, core concepts, and underlying assumptions, and analysed using a systems perspective to identify mechanisms and leverage points for change. They will be iteratively adapted based on GMB outputs and youth engagement</w:t>
            </w:r>
            <w:r w:rsidR="00984541">
              <w:rPr>
                <w:rFonts w:ascii="Calibri" w:eastAsia="Times New Roman" w:hAnsi="Calibri" w:cs="Calibri"/>
                <w:kern w:val="0"/>
                <w:sz w:val="22"/>
                <w:szCs w:val="22"/>
                <w:lang w:val="en-GB"/>
                <w14:ligatures w14:val="none"/>
              </w:rPr>
              <w:t xml:space="preserve"> and</w:t>
            </w:r>
            <w:r w:rsidR="0030170E" w:rsidRPr="0030170E">
              <w:rPr>
                <w:rFonts w:ascii="Calibri" w:eastAsia="Times New Roman" w:hAnsi="Calibri" w:cs="Calibri"/>
                <w:kern w:val="0"/>
                <w:sz w:val="22"/>
                <w:szCs w:val="22"/>
                <w:lang w:val="en-GB"/>
                <w14:ligatures w14:val="none"/>
              </w:rPr>
              <w:t xml:space="preserve"> adapted to the specific contexts of the participating </w:t>
            </w:r>
            <w:r w:rsidR="00D77301">
              <w:rPr>
                <w:rFonts w:ascii="Calibri" w:eastAsia="Times New Roman" w:hAnsi="Calibri" w:cs="Calibri"/>
                <w:kern w:val="0"/>
                <w:sz w:val="22"/>
                <w:szCs w:val="22"/>
                <w:lang w:val="en-GB"/>
                <w14:ligatures w14:val="none"/>
              </w:rPr>
              <w:t>sites to</w:t>
            </w:r>
            <w:r w:rsidR="0030170E" w:rsidRPr="0030170E">
              <w:rPr>
                <w:rFonts w:ascii="Calibri" w:eastAsia="Times New Roman" w:hAnsi="Calibri" w:cs="Calibri"/>
                <w:kern w:val="0"/>
                <w:sz w:val="22"/>
                <w:szCs w:val="22"/>
                <w:lang w:val="en-GB"/>
                <w14:ligatures w14:val="none"/>
              </w:rPr>
              <w:t xml:space="preserve"> ensure that the interventions are contextually relevant, culturally appropriate, and responsive to the needs and preferences of the target population.</w:t>
            </w:r>
            <w:r w:rsidR="00BA2FB9">
              <w:rPr>
                <w:rFonts w:ascii="Calibri" w:eastAsia="Times New Roman" w:hAnsi="Calibri" w:cs="Calibri"/>
                <w:kern w:val="0"/>
                <w:sz w:val="22"/>
                <w:szCs w:val="22"/>
                <w:lang w:val="en-GB"/>
                <w14:ligatures w14:val="none"/>
              </w:rPr>
              <w:t xml:space="preserve"> </w:t>
            </w:r>
            <w:r w:rsidR="00D77301">
              <w:rPr>
                <w:rFonts w:ascii="Calibri" w:eastAsia="Times New Roman" w:hAnsi="Calibri" w:cs="Calibri"/>
                <w:kern w:val="0"/>
                <w:sz w:val="22"/>
                <w:szCs w:val="22"/>
                <w:lang w:val="en-GB"/>
                <w14:ligatures w14:val="none"/>
              </w:rPr>
              <w:t>A</w:t>
            </w:r>
            <w:r w:rsidR="0030170E" w:rsidRPr="0030170E">
              <w:rPr>
                <w:rFonts w:ascii="Calibri" w:eastAsia="Times New Roman" w:hAnsi="Calibri" w:cs="Calibri"/>
                <w:kern w:val="0"/>
                <w:sz w:val="22"/>
                <w:szCs w:val="22"/>
                <w:lang w:val="en-GB"/>
                <w14:ligatures w14:val="none"/>
              </w:rPr>
              <w:t xml:space="preserve"> dedicated implementation plan </w:t>
            </w:r>
            <w:r w:rsidR="006E3907">
              <w:rPr>
                <w:rFonts w:ascii="Calibri" w:eastAsia="Times New Roman" w:hAnsi="Calibri" w:cs="Calibri"/>
                <w:kern w:val="0"/>
                <w:sz w:val="22"/>
                <w:szCs w:val="22"/>
                <w:lang w:val="en-GB"/>
                <w14:ligatures w14:val="none"/>
              </w:rPr>
              <w:t xml:space="preserve">based on </w:t>
            </w:r>
            <w:r w:rsidR="00587ADF">
              <w:rPr>
                <w:rFonts w:ascii="Calibri" w:eastAsia="Times New Roman" w:hAnsi="Calibri" w:cs="Calibri"/>
                <w:kern w:val="0"/>
                <w:sz w:val="22"/>
                <w:szCs w:val="22"/>
                <w:lang w:val="en-GB"/>
                <w14:ligatures w14:val="none"/>
              </w:rPr>
              <w:t xml:space="preserve">specific needs assessment </w:t>
            </w:r>
            <w:r w:rsidR="0030170E" w:rsidRPr="0030170E">
              <w:rPr>
                <w:rFonts w:ascii="Calibri" w:eastAsia="Times New Roman" w:hAnsi="Calibri" w:cs="Calibri"/>
                <w:kern w:val="0"/>
                <w:sz w:val="22"/>
                <w:szCs w:val="22"/>
                <w:lang w:val="en-GB"/>
                <w14:ligatures w14:val="none"/>
              </w:rPr>
              <w:t>will be developed for each intervention</w:t>
            </w:r>
            <w:r w:rsidR="0033738D">
              <w:rPr>
                <w:rFonts w:ascii="Calibri" w:eastAsia="Times New Roman" w:hAnsi="Calibri" w:cs="Calibri"/>
                <w:kern w:val="0"/>
                <w:sz w:val="22"/>
                <w:szCs w:val="22"/>
                <w:lang w:val="en-GB"/>
                <w14:ligatures w14:val="none"/>
              </w:rPr>
              <w:t xml:space="preserve"> (tasks </w:t>
            </w:r>
            <w:r w:rsidR="00F75562">
              <w:rPr>
                <w:rFonts w:ascii="Calibri" w:eastAsia="Times New Roman" w:hAnsi="Calibri" w:cs="Calibri"/>
                <w:kern w:val="0"/>
                <w:sz w:val="22"/>
                <w:szCs w:val="22"/>
                <w:lang w:val="en-GB"/>
                <w14:ligatures w14:val="none"/>
              </w:rPr>
              <w:t>4.3.1-4.3.4 below)</w:t>
            </w:r>
            <w:r w:rsidR="0030170E" w:rsidRPr="0030170E">
              <w:rPr>
                <w:rFonts w:ascii="Calibri" w:eastAsia="Times New Roman" w:hAnsi="Calibri" w:cs="Calibri"/>
                <w:kern w:val="0"/>
                <w:sz w:val="22"/>
                <w:szCs w:val="22"/>
                <w:lang w:val="en-GB"/>
                <w14:ligatures w14:val="none"/>
              </w:rPr>
              <w:t xml:space="preserve">. </w:t>
            </w:r>
          </w:p>
          <w:p w14:paraId="51441A00" w14:textId="3D65CF5B" w:rsidR="00D6665B" w:rsidRDefault="00D6665B" w:rsidP="00E627F2">
            <w:pPr>
              <w:widowControl w:val="0"/>
              <w:spacing w:after="0" w:line="240" w:lineRule="auto"/>
              <w:rPr>
                <w:rFonts w:ascii="Calibri" w:eastAsia="Times New Roman" w:hAnsi="Calibri" w:cs="Calibri"/>
                <w:kern w:val="0"/>
                <w:sz w:val="22"/>
                <w:szCs w:val="22"/>
                <w:lang w:val="en-GB"/>
                <w14:ligatures w14:val="none"/>
              </w:rPr>
            </w:pPr>
            <w:r w:rsidRPr="00C02F76">
              <w:rPr>
                <w:rFonts w:ascii="Calibri" w:eastAsia="Times New Roman" w:hAnsi="Calibri" w:cs="Calibri"/>
                <w:kern w:val="0"/>
                <w:sz w:val="22"/>
                <w:szCs w:val="22"/>
                <w:u w:val="single"/>
                <w:lang w:val="en-GB"/>
                <w14:ligatures w14:val="none"/>
              </w:rPr>
              <w:t>T4.</w:t>
            </w:r>
            <w:r w:rsidR="00B95CE4" w:rsidRPr="00C02F76">
              <w:rPr>
                <w:rFonts w:ascii="Calibri" w:eastAsia="Times New Roman" w:hAnsi="Calibri" w:cs="Calibri"/>
                <w:kern w:val="0"/>
                <w:sz w:val="22"/>
                <w:szCs w:val="22"/>
                <w:u w:val="single"/>
                <w:lang w:val="en-GB"/>
                <w14:ligatures w14:val="none"/>
              </w:rPr>
              <w:t>3</w:t>
            </w:r>
            <w:r w:rsidR="0033738D" w:rsidRPr="00C02F76">
              <w:rPr>
                <w:rFonts w:ascii="Calibri" w:eastAsia="Times New Roman" w:hAnsi="Calibri" w:cs="Calibri"/>
                <w:kern w:val="0"/>
                <w:sz w:val="22"/>
                <w:szCs w:val="22"/>
                <w:u w:val="single"/>
                <w:lang w:val="en-GB"/>
                <w14:ligatures w14:val="none"/>
              </w:rPr>
              <w:t>.1</w:t>
            </w:r>
            <w:r w:rsidRPr="00C02F76">
              <w:rPr>
                <w:rFonts w:ascii="Calibri" w:eastAsia="Times New Roman" w:hAnsi="Calibri" w:cs="Calibri"/>
                <w:kern w:val="0"/>
                <w:sz w:val="22"/>
                <w:szCs w:val="22"/>
                <w:u w:val="single"/>
                <w:lang w:val="en-GB"/>
                <w14:ligatures w14:val="none"/>
              </w:rPr>
              <w:t xml:space="preserve"> </w:t>
            </w:r>
            <w:r w:rsidR="00E93293" w:rsidRPr="00C02F76">
              <w:rPr>
                <w:rFonts w:ascii="Calibri" w:eastAsia="Times New Roman" w:hAnsi="Calibri" w:cs="Calibri"/>
                <w:kern w:val="0"/>
                <w:sz w:val="22"/>
                <w:szCs w:val="22"/>
                <w:u w:val="single"/>
                <w:lang w:val="en-GB"/>
                <w14:ligatures w14:val="none"/>
              </w:rPr>
              <w:t>The h</w:t>
            </w:r>
            <w:r w:rsidR="00E93293" w:rsidRPr="00C02F76">
              <w:rPr>
                <w:rFonts w:ascii="Calibri" w:eastAsia="Times New Roman" w:hAnsi="Calibri" w:cs="Calibri"/>
                <w:kern w:val="0"/>
                <w:sz w:val="22"/>
                <w:szCs w:val="22"/>
                <w:u w:val="single"/>
                <w:lang w:val="en-GB"/>
                <w14:ligatures w14:val="none"/>
              </w:rPr>
              <w:t>ealth and digital literacy</w:t>
            </w:r>
            <w:r w:rsidR="00E93293" w:rsidRPr="00C02F76">
              <w:rPr>
                <w:rFonts w:ascii="Calibri" w:eastAsia="Times New Roman" w:hAnsi="Calibri" w:cs="Calibri"/>
                <w:kern w:val="0"/>
                <w:sz w:val="22"/>
                <w:szCs w:val="22"/>
                <w:u w:val="single"/>
                <w:lang w:val="en-GB"/>
                <w14:ligatures w14:val="none"/>
              </w:rPr>
              <w:t xml:space="preserve"> intervention</w:t>
            </w:r>
            <w:r w:rsidR="00893857" w:rsidRPr="00C02F76">
              <w:rPr>
                <w:rFonts w:ascii="Calibri" w:eastAsia="Times New Roman" w:hAnsi="Calibri" w:cs="Calibri"/>
                <w:kern w:val="0"/>
                <w:sz w:val="22"/>
                <w:szCs w:val="22"/>
                <w:u w:val="single"/>
                <w:lang w:val="en-GB"/>
                <w14:ligatures w14:val="none"/>
              </w:rPr>
              <w:t xml:space="preserve"> </w:t>
            </w:r>
            <w:r w:rsidR="00FC28D1" w:rsidRPr="00C02F76">
              <w:rPr>
                <w:rFonts w:ascii="Calibri" w:eastAsia="Times New Roman" w:hAnsi="Calibri" w:cs="Calibri"/>
                <w:kern w:val="0"/>
                <w:sz w:val="22"/>
                <w:szCs w:val="22"/>
                <w:u w:val="single"/>
                <w:lang w:val="en-GB"/>
                <w14:ligatures w14:val="none"/>
              </w:rPr>
              <w:t>(ICL, NIPH</w:t>
            </w:r>
            <w:r w:rsidRPr="00C02F76">
              <w:rPr>
                <w:rFonts w:ascii="Calibri" w:eastAsia="Times New Roman" w:hAnsi="Calibri" w:cs="Calibri"/>
                <w:kern w:val="0"/>
                <w:sz w:val="22"/>
                <w:szCs w:val="22"/>
                <w:u w:val="single"/>
                <w:lang w:val="en-GB"/>
                <w14:ligatures w14:val="none"/>
              </w:rPr>
              <w:t>)</w:t>
            </w:r>
            <w:r w:rsidRPr="00D6665B">
              <w:rPr>
                <w:rFonts w:ascii="Calibri" w:eastAsia="Times New Roman" w:hAnsi="Calibri" w:cs="Calibri"/>
                <w:b/>
                <w:bCs/>
                <w:kern w:val="0"/>
                <w:sz w:val="22"/>
                <w:szCs w:val="22"/>
                <w:lang w:val="en-GB"/>
                <w14:ligatures w14:val="none"/>
              </w:rPr>
              <w:t xml:space="preserve"> </w:t>
            </w:r>
            <w:r w:rsidR="0036694E">
              <w:rPr>
                <w:rFonts w:ascii="Calibri" w:eastAsia="Times New Roman" w:hAnsi="Calibri" w:cs="Calibri"/>
                <w:b/>
                <w:bCs/>
                <w:kern w:val="0"/>
                <w:sz w:val="22"/>
                <w:szCs w:val="22"/>
                <w:lang w:val="en-GB"/>
                <w14:ligatures w14:val="none"/>
              </w:rPr>
              <w:t>–</w:t>
            </w:r>
            <w:r w:rsidR="00893857">
              <w:rPr>
                <w:rFonts w:ascii="Calibri" w:eastAsia="Times New Roman" w:hAnsi="Calibri" w:cs="Calibri"/>
                <w:b/>
                <w:bCs/>
                <w:kern w:val="0"/>
                <w:sz w:val="22"/>
                <w:szCs w:val="22"/>
                <w:lang w:val="en-GB"/>
                <w14:ligatures w14:val="none"/>
              </w:rPr>
              <w:t xml:space="preserve"> </w:t>
            </w:r>
            <w:r w:rsidR="007B490A">
              <w:rPr>
                <w:rFonts w:ascii="Calibri" w:eastAsia="Times New Roman" w:hAnsi="Calibri" w:cs="Calibri"/>
                <w:kern w:val="0"/>
                <w:sz w:val="22"/>
                <w:szCs w:val="22"/>
                <w:lang w:val="en-GB"/>
                <w14:ligatures w14:val="none"/>
              </w:rPr>
              <w:t>A</w:t>
            </w:r>
            <w:r w:rsidR="0036694E" w:rsidRPr="0036694E">
              <w:rPr>
                <w:rFonts w:ascii="Calibri" w:eastAsia="Times New Roman" w:hAnsi="Calibri" w:cs="Calibri"/>
                <w:kern w:val="0"/>
                <w:sz w:val="22"/>
                <w:szCs w:val="22"/>
                <w:lang w:val="en-GB"/>
                <w14:ligatures w14:val="none"/>
              </w:rPr>
              <w:t xml:space="preserve"> </w:t>
            </w:r>
            <w:r w:rsidR="007B490A">
              <w:rPr>
                <w:rFonts w:ascii="Calibri" w:eastAsia="Times New Roman" w:hAnsi="Calibri" w:cs="Calibri"/>
                <w:kern w:val="0"/>
                <w:sz w:val="22"/>
                <w:szCs w:val="22"/>
                <w:lang w:val="en-GB"/>
                <w14:ligatures w14:val="none"/>
              </w:rPr>
              <w:t>c</w:t>
            </w:r>
            <w:r w:rsidR="001463B3" w:rsidRPr="001463B3">
              <w:rPr>
                <w:rFonts w:ascii="Calibri" w:eastAsia="Times New Roman" w:hAnsi="Calibri" w:cs="Calibri"/>
                <w:kern w:val="0"/>
                <w:sz w:val="22"/>
                <w:szCs w:val="22"/>
                <w:lang w:val="en-GB"/>
                <w14:ligatures w14:val="none"/>
              </w:rPr>
              <w:t>o-creat</w:t>
            </w:r>
            <w:r w:rsidR="007B490A">
              <w:rPr>
                <w:rFonts w:ascii="Calibri" w:eastAsia="Times New Roman" w:hAnsi="Calibri" w:cs="Calibri"/>
                <w:kern w:val="0"/>
                <w:sz w:val="22"/>
                <w:szCs w:val="22"/>
                <w:lang w:val="en-GB"/>
                <w14:ligatures w14:val="none"/>
              </w:rPr>
              <w:t>ed</w:t>
            </w:r>
            <w:r w:rsidR="001463B3" w:rsidRPr="001463B3">
              <w:rPr>
                <w:rFonts w:ascii="Calibri" w:eastAsia="Times New Roman" w:hAnsi="Calibri" w:cs="Calibri"/>
                <w:kern w:val="0"/>
                <w:sz w:val="22"/>
                <w:szCs w:val="22"/>
                <w:lang w:val="en-GB"/>
                <w14:ligatures w14:val="none"/>
              </w:rPr>
              <w:t xml:space="preserve"> health and digital literacy programme with youth and relevant local stakeholders. Involvement of school health services and community nurses (where relevant). Components may include the following:</w:t>
            </w:r>
            <w:r w:rsidR="005F1A02">
              <w:rPr>
                <w:rFonts w:ascii="Calibri" w:eastAsia="Times New Roman" w:hAnsi="Calibri" w:cs="Calibri"/>
                <w:kern w:val="0"/>
                <w:sz w:val="22"/>
                <w:szCs w:val="22"/>
                <w:lang w:val="en-GB"/>
                <w14:ligatures w14:val="none"/>
              </w:rPr>
              <w:t xml:space="preserve"> </w:t>
            </w:r>
            <w:r w:rsidR="001463B3" w:rsidRPr="001463B3">
              <w:rPr>
                <w:rFonts w:ascii="Calibri" w:eastAsia="Times New Roman" w:hAnsi="Calibri" w:cs="Calibri"/>
                <w:kern w:val="0"/>
                <w:sz w:val="22"/>
                <w:szCs w:val="22"/>
                <w:lang w:val="en-GB"/>
                <w14:ligatures w14:val="none"/>
              </w:rPr>
              <w:t xml:space="preserve">a) TUTCH (Teenagers understanding and taking control of their health) educational approach, developed by the CHOICE Foundation (SE) based on training medical students to deliver health literacy sessions to adolescents on mental health and addictions. b) Digital literacy sessions, focusing on access to health information through digital media. Understanding how AI algorithms affect the health-related information young people access. Managing exposure to misinformation through pre-bunking and inoculation. A component of the digital literacy programme will be designed to support domain no. 2 in the intervention package, described below. </w:t>
            </w:r>
          </w:p>
          <w:p w14:paraId="185B92F7" w14:textId="0ACE7A0F" w:rsidR="00D6665B" w:rsidRDefault="00D6665B" w:rsidP="00E627F2">
            <w:pPr>
              <w:widowControl w:val="0"/>
              <w:spacing w:after="0" w:line="240" w:lineRule="auto"/>
              <w:rPr>
                <w:rFonts w:ascii="Calibri" w:eastAsia="Times New Roman" w:hAnsi="Calibri" w:cs="Calibri"/>
                <w:kern w:val="0"/>
                <w:sz w:val="22"/>
                <w:szCs w:val="22"/>
                <w:lang w:val="en-GB"/>
                <w14:ligatures w14:val="none"/>
              </w:rPr>
            </w:pPr>
            <w:r w:rsidRPr="00C02F76">
              <w:rPr>
                <w:rFonts w:ascii="Calibri" w:eastAsia="Times New Roman" w:hAnsi="Calibri" w:cs="Calibri"/>
                <w:kern w:val="0"/>
                <w:sz w:val="22"/>
                <w:szCs w:val="22"/>
                <w:u w:val="single"/>
                <w:lang w:val="en-GB"/>
                <w14:ligatures w14:val="none"/>
              </w:rPr>
              <w:t>T4.</w:t>
            </w:r>
            <w:r w:rsidR="0033738D" w:rsidRPr="00C02F76">
              <w:rPr>
                <w:rFonts w:ascii="Calibri" w:eastAsia="Times New Roman" w:hAnsi="Calibri" w:cs="Calibri"/>
                <w:kern w:val="0"/>
                <w:sz w:val="22"/>
                <w:szCs w:val="22"/>
                <w:u w:val="single"/>
                <w:lang w:val="en-GB"/>
                <w14:ligatures w14:val="none"/>
              </w:rPr>
              <w:t>3.2</w:t>
            </w:r>
            <w:r w:rsidRPr="00C02F76">
              <w:rPr>
                <w:rFonts w:ascii="Calibri" w:eastAsia="Times New Roman" w:hAnsi="Calibri" w:cs="Calibri"/>
                <w:kern w:val="0"/>
                <w:sz w:val="22"/>
                <w:szCs w:val="22"/>
                <w:u w:val="single"/>
                <w:lang w:val="en-GB"/>
                <w14:ligatures w14:val="none"/>
              </w:rPr>
              <w:t xml:space="preserve"> </w:t>
            </w:r>
            <w:r w:rsidR="00E93293" w:rsidRPr="00C02F76">
              <w:rPr>
                <w:rFonts w:ascii="Calibri" w:eastAsia="Times New Roman" w:hAnsi="Calibri" w:cs="Calibri"/>
                <w:kern w:val="0"/>
                <w:sz w:val="22"/>
                <w:szCs w:val="22"/>
                <w:u w:val="single"/>
                <w:lang w:val="en-GB"/>
                <w14:ligatures w14:val="none"/>
              </w:rPr>
              <w:t>S</w:t>
            </w:r>
            <w:r w:rsidR="00E93293" w:rsidRPr="00C02F76">
              <w:rPr>
                <w:rFonts w:ascii="Calibri" w:eastAsia="Times New Roman" w:hAnsi="Calibri" w:cs="Calibri"/>
                <w:kern w:val="0"/>
                <w:sz w:val="22"/>
                <w:szCs w:val="22"/>
                <w:u w:val="single"/>
                <w:lang w:val="en-GB"/>
                <w14:ligatures w14:val="none"/>
              </w:rPr>
              <w:t>elf-management of digital media use</w:t>
            </w:r>
            <w:r w:rsidR="0035408C" w:rsidRPr="00C02F76">
              <w:rPr>
                <w:rFonts w:ascii="Calibri" w:eastAsia="Times New Roman" w:hAnsi="Calibri" w:cs="Calibri"/>
                <w:kern w:val="0"/>
                <w:sz w:val="22"/>
                <w:szCs w:val="22"/>
                <w:u w:val="single"/>
                <w:lang w:val="en-GB"/>
                <w14:ligatures w14:val="none"/>
              </w:rPr>
              <w:t xml:space="preserve"> intervention</w:t>
            </w:r>
            <w:r w:rsidR="008D1C21" w:rsidRPr="00C02F76">
              <w:rPr>
                <w:rFonts w:ascii="Calibri" w:eastAsia="Times New Roman" w:hAnsi="Calibri" w:cs="Calibri"/>
                <w:kern w:val="0"/>
                <w:sz w:val="22"/>
                <w:szCs w:val="22"/>
                <w:u w:val="single"/>
                <w:lang w:val="en-GB"/>
                <w14:ligatures w14:val="none"/>
              </w:rPr>
              <w:t xml:space="preserve"> (NYU)</w:t>
            </w:r>
            <w:r w:rsidR="00893857">
              <w:rPr>
                <w:rFonts w:ascii="Calibri" w:eastAsia="Times New Roman" w:hAnsi="Calibri" w:cs="Calibri"/>
                <w:b/>
                <w:bCs/>
                <w:kern w:val="0"/>
                <w:sz w:val="22"/>
                <w:szCs w:val="22"/>
                <w:lang w:val="en-GB"/>
                <w14:ligatures w14:val="none"/>
              </w:rPr>
              <w:t xml:space="preserve"> </w:t>
            </w:r>
            <w:r w:rsidR="00A631FE">
              <w:rPr>
                <w:rFonts w:ascii="Calibri" w:eastAsia="Times New Roman" w:hAnsi="Calibri" w:cs="Calibri"/>
                <w:kern w:val="0"/>
                <w:sz w:val="22"/>
                <w:szCs w:val="22"/>
                <w:lang w:val="en-GB"/>
                <w14:ligatures w14:val="none"/>
              </w:rPr>
              <w:t>–</w:t>
            </w:r>
            <w:r w:rsidR="00893857" w:rsidRPr="00893857">
              <w:rPr>
                <w:rFonts w:ascii="Calibri" w:eastAsia="Times New Roman" w:hAnsi="Calibri" w:cs="Calibri"/>
                <w:kern w:val="0"/>
                <w:sz w:val="22"/>
                <w:szCs w:val="22"/>
                <w:lang w:val="en-GB"/>
                <w14:ligatures w14:val="none"/>
              </w:rPr>
              <w:t xml:space="preserve"> </w:t>
            </w:r>
            <w:r w:rsidR="00A631FE">
              <w:rPr>
                <w:rFonts w:ascii="Calibri" w:eastAsia="Times New Roman" w:hAnsi="Calibri" w:cs="Calibri"/>
                <w:kern w:val="0"/>
                <w:sz w:val="22"/>
                <w:szCs w:val="22"/>
                <w:lang w:val="en-GB"/>
                <w14:ligatures w14:val="none"/>
              </w:rPr>
              <w:t>An i</w:t>
            </w:r>
            <w:r w:rsidR="009A6735" w:rsidRPr="009A6735">
              <w:rPr>
                <w:rFonts w:ascii="Calibri" w:eastAsia="Times New Roman" w:hAnsi="Calibri" w:cs="Calibri"/>
                <w:kern w:val="0"/>
                <w:sz w:val="22"/>
                <w:szCs w:val="22"/>
                <w:lang w:val="en-GB"/>
                <w14:ligatures w14:val="none"/>
              </w:rPr>
              <w:t>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r w:rsidR="009A6735">
              <w:rPr>
                <w:rFonts w:ascii="Calibri" w:eastAsia="Times New Roman" w:hAnsi="Calibri" w:cs="Calibri"/>
                <w:kern w:val="0"/>
                <w:sz w:val="22"/>
                <w:szCs w:val="22"/>
                <w:lang w:val="en-GB"/>
                <w14:ligatures w14:val="none"/>
              </w:rPr>
              <w:t xml:space="preserve"> </w:t>
            </w:r>
            <w:r w:rsidR="009A6735" w:rsidRPr="009A6735">
              <w:rPr>
                <w:rFonts w:ascii="Calibri" w:eastAsia="Times New Roman" w:hAnsi="Calibri" w:cs="Calibri"/>
                <w:kern w:val="0"/>
                <w:sz w:val="22"/>
                <w:szCs w:val="22"/>
                <w:lang w:val="en-GB"/>
                <w14:ligatures w14:val="none"/>
              </w:rPr>
              <w:t>a) Content access management tool, hindering “infinite scrolling”</w:t>
            </w:r>
            <w:r w:rsidR="00037D1A">
              <w:rPr>
                <w:rFonts w:ascii="Calibri" w:eastAsia="Times New Roman" w:hAnsi="Calibri" w:cs="Calibri"/>
                <w:kern w:val="0"/>
                <w:sz w:val="22"/>
                <w:szCs w:val="22"/>
                <w:lang w:val="en-GB"/>
                <w14:ligatures w14:val="none"/>
              </w:rPr>
              <w:t xml:space="preserve"> which will</w:t>
            </w:r>
            <w:r w:rsidR="009A6735" w:rsidRPr="009A6735">
              <w:rPr>
                <w:rFonts w:ascii="Calibri" w:eastAsia="Times New Roman" w:hAnsi="Calibri" w:cs="Calibri"/>
                <w:kern w:val="0"/>
                <w:sz w:val="22"/>
                <w:szCs w:val="22"/>
                <w:lang w:val="en-GB"/>
                <w14:ligatures w14:val="none"/>
              </w:rPr>
              <w:t xml:space="preserve"> prevent children from excessive exposure to social media content and from spending exceeding amounts of time on screens and digital media, thereby reducing exposure to potentially harmful health-related content.</w:t>
            </w:r>
            <w:r w:rsidR="009A6735">
              <w:rPr>
                <w:rFonts w:ascii="Calibri" w:eastAsia="Times New Roman" w:hAnsi="Calibri" w:cs="Calibri"/>
                <w:kern w:val="0"/>
                <w:sz w:val="22"/>
                <w:szCs w:val="22"/>
                <w:lang w:val="en-GB"/>
                <w14:ligatures w14:val="none"/>
              </w:rPr>
              <w:t xml:space="preserve"> </w:t>
            </w:r>
            <w:r w:rsidR="009A6735" w:rsidRPr="009A6735">
              <w:rPr>
                <w:rFonts w:ascii="Calibri" w:eastAsia="Times New Roman" w:hAnsi="Calibri" w:cs="Calibri"/>
                <w:kern w:val="0"/>
                <w:sz w:val="22"/>
                <w:szCs w:val="22"/>
                <w:lang w:val="en-GB"/>
                <w14:ligatures w14:val="none"/>
              </w:rPr>
              <w:t>b) Sleep duration and attention controls, which would trigger a hard stop (not amenable to manipulation) on social media use at given times of the day and night.</w:t>
            </w:r>
            <w:r w:rsidR="009A6735">
              <w:rPr>
                <w:rFonts w:ascii="Calibri" w:eastAsia="Times New Roman" w:hAnsi="Calibri" w:cs="Calibri"/>
                <w:kern w:val="0"/>
                <w:sz w:val="22"/>
                <w:szCs w:val="22"/>
                <w:lang w:val="en-GB"/>
                <w14:ligatures w14:val="none"/>
              </w:rPr>
              <w:t xml:space="preserve"> </w:t>
            </w:r>
            <w:r w:rsidR="009A6735" w:rsidRPr="009A6735">
              <w:rPr>
                <w:rFonts w:ascii="Calibri" w:eastAsia="Times New Roman" w:hAnsi="Calibri" w:cs="Calibri"/>
                <w:kern w:val="0"/>
                <w:sz w:val="22"/>
                <w:szCs w:val="22"/>
                <w:lang w:val="en-GB"/>
                <w14:ligatures w14:val="none"/>
              </w:rPr>
              <w:t>c) Notification frequency reduction tool, which would reduce the frequency of notifications, another key “attention grabbing” feature of digital media use, by delivering them in batches, thereby reducing the frequency of device pick-up and time spent on digital devices.</w:t>
            </w:r>
            <w:r w:rsidR="005F1A02">
              <w:rPr>
                <w:rFonts w:ascii="Calibri" w:eastAsia="Times New Roman" w:hAnsi="Calibri" w:cs="Calibri"/>
                <w:kern w:val="0"/>
                <w:sz w:val="22"/>
                <w:szCs w:val="22"/>
                <w:lang w:val="en-GB"/>
                <w14:ligatures w14:val="none"/>
              </w:rPr>
              <w:t xml:space="preserve"> </w:t>
            </w:r>
          </w:p>
          <w:p w14:paraId="67360BA9" w14:textId="308B34BD" w:rsidR="00A031F8" w:rsidRDefault="00D6665B" w:rsidP="00E627F2">
            <w:pPr>
              <w:widowControl w:val="0"/>
              <w:spacing w:after="0" w:line="240" w:lineRule="auto"/>
              <w:rPr>
                <w:rFonts w:ascii="Calibri" w:eastAsia="Times New Roman" w:hAnsi="Calibri" w:cs="Calibri"/>
                <w:kern w:val="0"/>
                <w:sz w:val="22"/>
                <w:szCs w:val="22"/>
                <w:lang w:val="en-GB"/>
                <w14:ligatures w14:val="none"/>
              </w:rPr>
            </w:pPr>
            <w:r w:rsidRPr="00C02F76">
              <w:rPr>
                <w:rFonts w:ascii="Calibri" w:eastAsia="Times New Roman" w:hAnsi="Calibri" w:cs="Calibri"/>
                <w:kern w:val="0"/>
                <w:sz w:val="22"/>
                <w:szCs w:val="22"/>
                <w:u w:val="single"/>
                <w:lang w:val="en-GB"/>
                <w14:ligatures w14:val="none"/>
              </w:rPr>
              <w:t>T4.</w:t>
            </w:r>
            <w:r w:rsidR="0033738D" w:rsidRPr="00C02F76">
              <w:rPr>
                <w:rFonts w:ascii="Calibri" w:eastAsia="Times New Roman" w:hAnsi="Calibri" w:cs="Calibri"/>
                <w:kern w:val="0"/>
                <w:sz w:val="22"/>
                <w:szCs w:val="22"/>
                <w:u w:val="single"/>
                <w:lang w:val="en-GB"/>
                <w14:ligatures w14:val="none"/>
              </w:rPr>
              <w:t>3.3</w:t>
            </w:r>
            <w:r w:rsidRPr="00C02F76">
              <w:rPr>
                <w:rFonts w:ascii="Calibri" w:eastAsia="Times New Roman" w:hAnsi="Calibri" w:cs="Calibri"/>
                <w:kern w:val="0"/>
                <w:sz w:val="22"/>
                <w:szCs w:val="22"/>
                <w:u w:val="single"/>
                <w:lang w:val="en-GB"/>
                <w14:ligatures w14:val="none"/>
              </w:rPr>
              <w:t xml:space="preserve"> </w:t>
            </w:r>
            <w:r w:rsidR="00E93293" w:rsidRPr="00C02F76">
              <w:rPr>
                <w:rFonts w:ascii="Calibri" w:eastAsia="Times New Roman" w:hAnsi="Calibri" w:cs="Calibri"/>
                <w:kern w:val="0"/>
                <w:sz w:val="22"/>
                <w:szCs w:val="22"/>
                <w:u w:val="single"/>
                <w:lang w:val="en-GB"/>
                <w14:ligatures w14:val="none"/>
              </w:rPr>
              <w:t>H</w:t>
            </w:r>
            <w:r w:rsidR="00E93293" w:rsidRPr="00C02F76">
              <w:rPr>
                <w:rFonts w:ascii="Calibri" w:eastAsia="Times New Roman" w:hAnsi="Calibri" w:cs="Calibri"/>
                <w:kern w:val="0"/>
                <w:sz w:val="22"/>
                <w:szCs w:val="22"/>
                <w:u w:val="single"/>
                <w:lang w:val="en-GB"/>
                <w14:ligatures w14:val="none"/>
              </w:rPr>
              <w:t>ealthy school environment and behavioural “nudge” interventions</w:t>
            </w:r>
            <w:r w:rsidR="00893857" w:rsidRPr="00C02F76">
              <w:rPr>
                <w:rFonts w:ascii="Calibri" w:eastAsia="Times New Roman" w:hAnsi="Calibri" w:cs="Calibri"/>
                <w:kern w:val="0"/>
                <w:sz w:val="22"/>
                <w:szCs w:val="22"/>
                <w:u w:val="single"/>
                <w:lang w:val="en-GB"/>
                <w14:ligatures w14:val="none"/>
              </w:rPr>
              <w:t xml:space="preserve"> </w:t>
            </w:r>
            <w:r w:rsidR="00A031F8" w:rsidRPr="00C02F76">
              <w:rPr>
                <w:rFonts w:ascii="Calibri" w:eastAsia="Times New Roman" w:hAnsi="Calibri" w:cs="Calibri"/>
                <w:kern w:val="0"/>
                <w:sz w:val="22"/>
                <w:szCs w:val="22"/>
                <w:u w:val="single"/>
                <w:lang w:val="en-GB"/>
                <w14:ligatures w14:val="none"/>
              </w:rPr>
              <w:t>(EHN, ICL)</w:t>
            </w:r>
            <w:r w:rsidR="00A031F8">
              <w:rPr>
                <w:rFonts w:ascii="Calibri" w:eastAsia="Times New Roman" w:hAnsi="Calibri" w:cs="Calibri"/>
                <w:b/>
                <w:bCs/>
                <w:kern w:val="0"/>
                <w:sz w:val="22"/>
                <w:szCs w:val="22"/>
                <w:lang w:val="en-GB"/>
                <w14:ligatures w14:val="none"/>
              </w:rPr>
              <w:t xml:space="preserve"> </w:t>
            </w:r>
            <w:r w:rsidR="00893857">
              <w:rPr>
                <w:rFonts w:ascii="Calibri" w:eastAsia="Times New Roman" w:hAnsi="Calibri" w:cs="Calibri"/>
                <w:b/>
                <w:bCs/>
                <w:kern w:val="0"/>
                <w:sz w:val="22"/>
                <w:szCs w:val="22"/>
                <w:lang w:val="en-GB"/>
                <w14:ligatures w14:val="none"/>
              </w:rPr>
              <w:t xml:space="preserve">- </w:t>
            </w:r>
            <w:r w:rsidR="00955320" w:rsidRPr="00955320">
              <w:rPr>
                <w:rFonts w:ascii="Calibri" w:eastAsia="Times New Roman" w:hAnsi="Calibri" w:cs="Calibri"/>
                <w:kern w:val="0"/>
                <w:sz w:val="22"/>
                <w:szCs w:val="22"/>
                <w:lang w:val="en-GB"/>
                <w14:ligatures w14:val="none"/>
              </w:rPr>
              <w:t>School-level intervention component aimed at creating a health promoting environment</w:t>
            </w:r>
            <w:r w:rsidR="00DF37FC">
              <w:rPr>
                <w:rFonts w:ascii="Calibri" w:eastAsia="Times New Roman" w:hAnsi="Calibri" w:cs="Calibri"/>
                <w:kern w:val="0"/>
                <w:sz w:val="22"/>
                <w:szCs w:val="22"/>
                <w:lang w:val="en-GB"/>
                <w14:ligatures w14:val="none"/>
              </w:rPr>
              <w:t>.</w:t>
            </w:r>
            <w:r w:rsidR="00380B14">
              <w:rPr>
                <w:rFonts w:ascii="Calibri" w:eastAsia="Times New Roman" w:hAnsi="Calibri" w:cs="Calibri"/>
                <w:kern w:val="0"/>
                <w:sz w:val="22"/>
                <w:szCs w:val="22"/>
                <w:lang w:val="en-GB"/>
                <w14:ligatures w14:val="none"/>
              </w:rPr>
              <w:t xml:space="preserve"> </w:t>
            </w:r>
            <w:r w:rsidR="00BB21EA">
              <w:rPr>
                <w:rFonts w:ascii="Calibri" w:eastAsia="Times New Roman" w:hAnsi="Calibri" w:cs="Calibri"/>
                <w:kern w:val="0"/>
                <w:sz w:val="22"/>
                <w:szCs w:val="22"/>
                <w:lang w:val="en-GB"/>
                <w14:ligatures w14:val="none"/>
              </w:rPr>
              <w:t>The intervention</w:t>
            </w:r>
            <w:r w:rsidR="007B5D8E">
              <w:rPr>
                <w:rFonts w:ascii="Calibri" w:eastAsia="Times New Roman" w:hAnsi="Calibri" w:cs="Calibri"/>
                <w:kern w:val="0"/>
                <w:sz w:val="22"/>
                <w:szCs w:val="22"/>
                <w:lang w:val="en-GB"/>
                <w14:ligatures w14:val="none"/>
              </w:rPr>
              <w:t>s will consist of</w:t>
            </w:r>
            <w:r w:rsidR="00BB21EA">
              <w:rPr>
                <w:rFonts w:ascii="Calibri" w:eastAsia="Times New Roman" w:hAnsi="Calibri" w:cs="Calibri"/>
                <w:kern w:val="0"/>
                <w:sz w:val="22"/>
                <w:szCs w:val="22"/>
                <w:lang w:val="en-GB"/>
                <w14:ligatures w14:val="none"/>
              </w:rPr>
              <w:t xml:space="preserve"> </w:t>
            </w:r>
            <w:r w:rsidR="00DF37FC">
              <w:rPr>
                <w:rFonts w:ascii="Calibri" w:eastAsia="Times New Roman" w:hAnsi="Calibri" w:cs="Calibri"/>
                <w:kern w:val="0"/>
                <w:sz w:val="22"/>
                <w:szCs w:val="22"/>
                <w:lang w:val="en-GB"/>
                <w14:ligatures w14:val="none"/>
              </w:rPr>
              <w:t xml:space="preserve">a) </w:t>
            </w:r>
            <w:r w:rsidR="007B5D8E">
              <w:rPr>
                <w:rFonts w:ascii="Calibri" w:eastAsia="Times New Roman" w:hAnsi="Calibri" w:cs="Calibri"/>
                <w:kern w:val="0"/>
                <w:sz w:val="22"/>
                <w:szCs w:val="22"/>
                <w:lang w:val="en-GB"/>
                <w14:ligatures w14:val="none"/>
              </w:rPr>
              <w:t xml:space="preserve">Alignment with </w:t>
            </w:r>
            <w:r w:rsidR="00955320" w:rsidRPr="00955320">
              <w:rPr>
                <w:rFonts w:ascii="Calibri" w:eastAsia="Times New Roman" w:hAnsi="Calibri" w:cs="Calibri"/>
                <w:kern w:val="0"/>
                <w:sz w:val="22"/>
                <w:szCs w:val="22"/>
                <w:lang w:val="en-GB"/>
                <w14:ligatures w14:val="none"/>
              </w:rPr>
              <w:t>WHO policy guidelines and recommendations</w:t>
            </w:r>
            <w:r w:rsidR="00380B14">
              <w:rPr>
                <w:rFonts w:ascii="Calibri" w:eastAsia="Times New Roman" w:hAnsi="Calibri" w:cs="Calibri"/>
                <w:kern w:val="0"/>
                <w:sz w:val="22"/>
                <w:szCs w:val="22"/>
                <w:lang w:val="en-GB"/>
                <w14:ligatures w14:val="none"/>
              </w:rPr>
              <w:t xml:space="preserve"> for</w:t>
            </w:r>
            <w:r w:rsidR="00955320" w:rsidRPr="00955320">
              <w:rPr>
                <w:rFonts w:ascii="Calibri" w:eastAsia="Times New Roman" w:hAnsi="Calibri" w:cs="Calibri"/>
                <w:kern w:val="0"/>
                <w:sz w:val="22"/>
                <w:szCs w:val="22"/>
                <w:lang w:val="en-GB"/>
                <w14:ligatures w14:val="none"/>
              </w:rPr>
              <w:t xml:space="preserve"> school food environments relate</w:t>
            </w:r>
            <w:r w:rsidR="00380B14">
              <w:rPr>
                <w:rFonts w:ascii="Calibri" w:eastAsia="Times New Roman" w:hAnsi="Calibri" w:cs="Calibri"/>
                <w:kern w:val="0"/>
                <w:sz w:val="22"/>
                <w:szCs w:val="22"/>
                <w:lang w:val="en-GB"/>
                <w14:ligatures w14:val="none"/>
              </w:rPr>
              <w:t>d</w:t>
            </w:r>
            <w:r w:rsidR="00955320" w:rsidRPr="00955320">
              <w:rPr>
                <w:rFonts w:ascii="Calibri" w:eastAsia="Times New Roman" w:hAnsi="Calibri" w:cs="Calibri"/>
                <w:kern w:val="0"/>
                <w:sz w:val="22"/>
                <w:szCs w:val="22"/>
                <w:lang w:val="en-GB"/>
                <w14:ligatures w14:val="none"/>
              </w:rPr>
              <w:t xml:space="preserve"> to direct food provision; nutrition standards; and nudges (portion size, nutrition information, food presentation and positioning). While not all schools would have canteens or directly provide full meals, there is probably sufficient scope for implementing food environment interventions that would have a meaningful impact on children’s dietary intakes.</w:t>
            </w:r>
            <w:r w:rsidR="00F770A3">
              <w:rPr>
                <w:rFonts w:ascii="Calibri" w:eastAsia="Times New Roman" w:hAnsi="Calibri" w:cs="Calibri"/>
                <w:kern w:val="0"/>
                <w:sz w:val="22"/>
                <w:szCs w:val="22"/>
                <w:lang w:val="en-GB"/>
                <w14:ligatures w14:val="none"/>
              </w:rPr>
              <w:t xml:space="preserve"> b) </w:t>
            </w:r>
            <w:r w:rsidR="00955320" w:rsidRPr="00955320">
              <w:rPr>
                <w:rFonts w:ascii="Calibri" w:eastAsia="Times New Roman" w:hAnsi="Calibri" w:cs="Calibri"/>
                <w:kern w:val="0"/>
                <w:sz w:val="22"/>
                <w:szCs w:val="22"/>
                <w:lang w:val="en-GB"/>
                <w14:ligatures w14:val="none"/>
              </w:rPr>
              <w:t>Food environment interventions</w:t>
            </w:r>
            <w:r w:rsidR="00F770A3">
              <w:rPr>
                <w:rFonts w:ascii="Calibri" w:eastAsia="Times New Roman" w:hAnsi="Calibri" w:cs="Calibri"/>
                <w:kern w:val="0"/>
                <w:sz w:val="22"/>
                <w:szCs w:val="22"/>
                <w:lang w:val="en-GB"/>
                <w14:ligatures w14:val="none"/>
              </w:rPr>
              <w:t xml:space="preserve"> that</w:t>
            </w:r>
            <w:r w:rsidR="00955320" w:rsidRPr="00955320">
              <w:rPr>
                <w:rFonts w:ascii="Calibri" w:eastAsia="Times New Roman" w:hAnsi="Calibri" w:cs="Calibri"/>
                <w:kern w:val="0"/>
                <w:sz w:val="22"/>
                <w:szCs w:val="22"/>
                <w:lang w:val="en-GB"/>
                <w14:ligatures w14:val="none"/>
              </w:rPr>
              <w:t xml:space="preserve"> can be combined with physical activity interventions in addressing the first critical </w:t>
            </w:r>
            <w:r w:rsidR="00955320" w:rsidRPr="00955320">
              <w:rPr>
                <w:rFonts w:ascii="Calibri" w:eastAsia="Times New Roman" w:hAnsi="Calibri" w:cs="Calibri"/>
                <w:kern w:val="0"/>
                <w:sz w:val="22"/>
                <w:szCs w:val="22"/>
                <w:lang w:val="en-GB"/>
                <w14:ligatures w14:val="none"/>
              </w:rPr>
              <w:lastRenderedPageBreak/>
              <w:t>health area (overweight and obesity), provided that the required infrastructure investment is affordable and sustainable.</w:t>
            </w:r>
            <w:r w:rsidR="00955320">
              <w:rPr>
                <w:rFonts w:ascii="Calibri" w:eastAsia="Times New Roman" w:hAnsi="Calibri" w:cs="Calibri"/>
                <w:kern w:val="0"/>
                <w:sz w:val="22"/>
                <w:szCs w:val="22"/>
                <w:lang w:val="en-GB"/>
                <w14:ligatures w14:val="none"/>
              </w:rPr>
              <w:t xml:space="preserve"> </w:t>
            </w:r>
            <w:r w:rsidR="00955320" w:rsidRPr="00955320">
              <w:rPr>
                <w:rFonts w:ascii="Calibri" w:eastAsia="Times New Roman" w:hAnsi="Calibri" w:cs="Calibri"/>
                <w:kern w:val="0"/>
                <w:sz w:val="22"/>
                <w:szCs w:val="22"/>
                <w:lang w:val="en-GB"/>
                <w14:ligatures w14:val="none"/>
              </w:rPr>
              <w:t xml:space="preserve">c) Smartphone-free schools, following an increasing number of jurisdictions preventing children from taking their smartphones to school or using them while at school. </w:t>
            </w:r>
          </w:p>
          <w:p w14:paraId="39AB0ABC" w14:textId="7F136D44" w:rsidR="00E93293" w:rsidRPr="008929C9" w:rsidRDefault="00D6665B" w:rsidP="00E627F2">
            <w:pPr>
              <w:widowControl w:val="0"/>
              <w:spacing w:after="0" w:line="240" w:lineRule="auto"/>
              <w:rPr>
                <w:rFonts w:ascii="Calibri" w:eastAsia="Times New Roman" w:hAnsi="Calibri" w:cs="Calibri"/>
                <w:kern w:val="0"/>
                <w:sz w:val="22"/>
                <w:szCs w:val="22"/>
                <w:lang w:val="en-GB"/>
                <w14:ligatures w14:val="none"/>
              </w:rPr>
            </w:pPr>
            <w:r w:rsidRPr="00C02F76">
              <w:rPr>
                <w:rFonts w:ascii="Calibri" w:eastAsia="Times New Roman" w:hAnsi="Calibri" w:cs="Calibri"/>
                <w:kern w:val="0"/>
                <w:sz w:val="22"/>
                <w:szCs w:val="22"/>
                <w:u w:val="single"/>
                <w:lang w:val="en-GB"/>
                <w14:ligatures w14:val="none"/>
              </w:rPr>
              <w:t>T4.</w:t>
            </w:r>
            <w:r w:rsidR="0033738D" w:rsidRPr="00C02F76">
              <w:rPr>
                <w:rFonts w:ascii="Calibri" w:eastAsia="Times New Roman" w:hAnsi="Calibri" w:cs="Calibri"/>
                <w:kern w:val="0"/>
                <w:sz w:val="22"/>
                <w:szCs w:val="22"/>
                <w:u w:val="single"/>
                <w:lang w:val="en-GB"/>
                <w14:ligatures w14:val="none"/>
              </w:rPr>
              <w:t>3.4</w:t>
            </w:r>
            <w:r w:rsidR="00E93293" w:rsidRPr="00C02F76">
              <w:rPr>
                <w:rFonts w:ascii="Calibri" w:eastAsia="Times New Roman" w:hAnsi="Calibri" w:cs="Calibri"/>
                <w:kern w:val="0"/>
                <w:sz w:val="22"/>
                <w:szCs w:val="22"/>
                <w:u w:val="single"/>
                <w:lang w:val="en-GB"/>
                <w14:ligatures w14:val="none"/>
              </w:rPr>
              <w:t xml:space="preserve"> R</w:t>
            </w:r>
            <w:r w:rsidR="00E93293" w:rsidRPr="00C02F76">
              <w:rPr>
                <w:rFonts w:ascii="Calibri" w:eastAsia="Times New Roman" w:hAnsi="Calibri" w:cs="Calibri"/>
                <w:kern w:val="0"/>
                <w:sz w:val="22"/>
                <w:szCs w:val="22"/>
                <w:u w:val="single"/>
                <w:lang w:val="en-GB"/>
                <w14:ligatures w14:val="none"/>
              </w:rPr>
              <w:t>esource</w:t>
            </w:r>
            <w:r w:rsidR="008D1C21" w:rsidRPr="00C02F76">
              <w:rPr>
                <w:rFonts w:ascii="Calibri" w:eastAsia="Times New Roman" w:hAnsi="Calibri" w:cs="Calibri"/>
                <w:kern w:val="0"/>
                <w:sz w:val="22"/>
                <w:szCs w:val="22"/>
                <w:u w:val="single"/>
                <w:lang w:val="en-GB"/>
                <w14:ligatures w14:val="none"/>
              </w:rPr>
              <w:t>s and services</w:t>
            </w:r>
            <w:r w:rsidR="00665E81" w:rsidRPr="00C02F76">
              <w:rPr>
                <w:rFonts w:ascii="Calibri" w:eastAsia="Times New Roman" w:hAnsi="Calibri" w:cs="Calibri"/>
                <w:kern w:val="0"/>
                <w:sz w:val="22"/>
                <w:szCs w:val="22"/>
                <w:u w:val="single"/>
                <w:lang w:val="en-GB"/>
                <w14:ligatures w14:val="none"/>
              </w:rPr>
              <w:t xml:space="preserve"> </w:t>
            </w:r>
            <w:r w:rsidR="0035408C" w:rsidRPr="00C02F76">
              <w:rPr>
                <w:rFonts w:ascii="Calibri" w:eastAsia="Times New Roman" w:hAnsi="Calibri" w:cs="Calibri"/>
                <w:kern w:val="0"/>
                <w:sz w:val="22"/>
                <w:szCs w:val="22"/>
                <w:u w:val="single"/>
                <w:lang w:val="en-GB"/>
                <w14:ligatures w14:val="none"/>
              </w:rPr>
              <w:t xml:space="preserve">intervention </w:t>
            </w:r>
            <w:r w:rsidR="00665E81" w:rsidRPr="00C02F76">
              <w:rPr>
                <w:rFonts w:ascii="Calibri" w:eastAsia="Times New Roman" w:hAnsi="Calibri" w:cs="Calibri"/>
                <w:kern w:val="0"/>
                <w:sz w:val="22"/>
                <w:szCs w:val="22"/>
                <w:u w:val="single"/>
                <w:lang w:val="en-GB"/>
                <w14:ligatures w14:val="none"/>
              </w:rPr>
              <w:t>(NIJZ)</w:t>
            </w:r>
            <w:r w:rsidR="00893857">
              <w:rPr>
                <w:rFonts w:ascii="Calibri" w:eastAsia="Times New Roman" w:hAnsi="Calibri" w:cs="Calibri"/>
                <w:b/>
                <w:bCs/>
                <w:kern w:val="0"/>
                <w:sz w:val="22"/>
                <w:szCs w:val="22"/>
                <w:lang w:val="en-GB"/>
                <w14:ligatures w14:val="none"/>
              </w:rPr>
              <w:t xml:space="preserve"> - </w:t>
            </w:r>
            <w:r w:rsidR="008929C9" w:rsidRPr="008929C9">
              <w:rPr>
                <w:rFonts w:ascii="Calibri" w:eastAsia="Times New Roman" w:hAnsi="Calibri" w:cs="Calibri"/>
                <w:kern w:val="0"/>
                <w:sz w:val="22"/>
                <w:szCs w:val="22"/>
                <w:lang w:val="en-GB"/>
                <w14:ligatures w14:val="none"/>
              </w:rPr>
              <w:t>Environmental interventions aimed at empowering children to request and obtain safe advice and counselling from trained staff on health issues they may be experiencing or may be concerned about.</w:t>
            </w:r>
            <w:r w:rsidR="008929C9">
              <w:rPr>
                <w:rFonts w:ascii="Calibri" w:eastAsia="Times New Roman" w:hAnsi="Calibri" w:cs="Calibri"/>
                <w:kern w:val="0"/>
                <w:sz w:val="22"/>
                <w:szCs w:val="22"/>
                <w:lang w:val="en-GB"/>
                <w14:ligatures w14:val="none"/>
              </w:rPr>
              <w:t xml:space="preserve"> </w:t>
            </w:r>
            <w:r w:rsidR="008929C9" w:rsidRPr="008929C9">
              <w:rPr>
                <w:rFonts w:ascii="Calibri" w:eastAsia="Times New Roman" w:hAnsi="Calibri" w:cs="Calibri"/>
                <w:kern w:val="0"/>
                <w:sz w:val="22"/>
                <w:szCs w:val="22"/>
                <w:lang w:val="en-GB"/>
                <w14:ligatures w14:val="none"/>
              </w:rPr>
              <w:t xml:space="preserve">The priority area in this domain </w:t>
            </w:r>
            <w:r w:rsidR="009D7757">
              <w:rPr>
                <w:rFonts w:ascii="Calibri" w:eastAsia="Times New Roman" w:hAnsi="Calibri" w:cs="Calibri"/>
                <w:kern w:val="0"/>
                <w:sz w:val="22"/>
                <w:szCs w:val="22"/>
                <w:lang w:val="en-GB"/>
                <w14:ligatures w14:val="none"/>
              </w:rPr>
              <w:t xml:space="preserve">will be </w:t>
            </w:r>
            <w:r w:rsidR="008929C9" w:rsidRPr="008929C9">
              <w:rPr>
                <w:rFonts w:ascii="Calibri" w:eastAsia="Times New Roman" w:hAnsi="Calibri" w:cs="Calibri"/>
                <w:kern w:val="0"/>
                <w:sz w:val="22"/>
                <w:szCs w:val="22"/>
                <w:lang w:val="en-GB"/>
                <w14:ligatures w14:val="none"/>
              </w:rPr>
              <w:t xml:space="preserve">mental health, and the intervention may rely on transferring and adapting the NIJZ approach developed in Slovenia with the “To </w:t>
            </w:r>
            <w:proofErr w:type="spellStart"/>
            <w:r w:rsidR="008929C9" w:rsidRPr="008929C9">
              <w:rPr>
                <w:rFonts w:ascii="Calibri" w:eastAsia="Times New Roman" w:hAnsi="Calibri" w:cs="Calibri"/>
                <w:kern w:val="0"/>
                <w:sz w:val="22"/>
                <w:szCs w:val="22"/>
                <w:lang w:val="en-GB"/>
                <w14:ligatures w14:val="none"/>
              </w:rPr>
              <w:t>sem</w:t>
            </w:r>
            <w:proofErr w:type="spellEnd"/>
            <w:r w:rsidR="008929C9" w:rsidRPr="008929C9">
              <w:rPr>
                <w:rFonts w:ascii="Calibri" w:eastAsia="Times New Roman" w:hAnsi="Calibri" w:cs="Calibri"/>
                <w:kern w:val="0"/>
                <w:sz w:val="22"/>
                <w:szCs w:val="22"/>
                <w:lang w:val="en-GB"/>
                <w14:ligatures w14:val="none"/>
              </w:rPr>
              <w:t xml:space="preserve"> </w:t>
            </w:r>
            <w:proofErr w:type="spellStart"/>
            <w:r w:rsidR="008929C9" w:rsidRPr="008929C9">
              <w:rPr>
                <w:rFonts w:ascii="Calibri" w:eastAsia="Times New Roman" w:hAnsi="Calibri" w:cs="Calibri"/>
                <w:kern w:val="0"/>
                <w:sz w:val="22"/>
                <w:szCs w:val="22"/>
                <w:lang w:val="en-GB"/>
                <w14:ligatures w14:val="none"/>
              </w:rPr>
              <w:t>jaz</w:t>
            </w:r>
            <w:proofErr w:type="spellEnd"/>
            <w:r w:rsidR="008929C9" w:rsidRPr="008929C9">
              <w:rPr>
                <w:rFonts w:ascii="Calibri" w:eastAsia="Times New Roman" w:hAnsi="Calibri" w:cs="Calibri"/>
                <w:kern w:val="0"/>
                <w:sz w:val="22"/>
                <w:szCs w:val="22"/>
                <w:lang w:val="en-GB"/>
                <w14:ligatures w14:val="none"/>
              </w:rPr>
              <w:t xml:space="preserve">” mental health counselling website </w:t>
            </w:r>
            <w:r w:rsidR="002700C7">
              <w:rPr>
                <w:rFonts w:ascii="Calibri" w:eastAsia="Times New Roman" w:hAnsi="Calibri" w:cs="Calibri"/>
                <w:kern w:val="0"/>
                <w:sz w:val="22"/>
                <w:szCs w:val="22"/>
                <w:lang w:val="en-GB"/>
                <w14:ligatures w14:val="none"/>
              </w:rPr>
              <w:t>or similar resources in the</w:t>
            </w:r>
            <w:r w:rsidR="008929C9" w:rsidRPr="008929C9">
              <w:rPr>
                <w:rFonts w:ascii="Calibri" w:eastAsia="Times New Roman" w:hAnsi="Calibri" w:cs="Calibri"/>
                <w:kern w:val="0"/>
                <w:sz w:val="22"/>
                <w:szCs w:val="22"/>
                <w:lang w:val="en-GB"/>
                <w14:ligatures w14:val="none"/>
              </w:rPr>
              <w:t xml:space="preserve"> </w:t>
            </w:r>
            <w:r w:rsidR="00766E6B">
              <w:rPr>
                <w:rFonts w:ascii="Calibri" w:eastAsia="Times New Roman" w:hAnsi="Calibri" w:cs="Calibri"/>
                <w:kern w:val="0"/>
                <w:sz w:val="22"/>
                <w:szCs w:val="22"/>
                <w:lang w:val="en-GB"/>
                <w14:ligatures w14:val="none"/>
              </w:rPr>
              <w:t xml:space="preserve">other </w:t>
            </w:r>
            <w:r w:rsidR="008929C9" w:rsidRPr="008929C9">
              <w:rPr>
                <w:rFonts w:ascii="Calibri" w:eastAsia="Times New Roman" w:hAnsi="Calibri" w:cs="Calibri"/>
                <w:kern w:val="0"/>
                <w:sz w:val="22"/>
                <w:szCs w:val="22"/>
                <w:lang w:val="en-GB"/>
                <w14:ligatures w14:val="none"/>
              </w:rPr>
              <w:t>countries. Potentially, an AI-assisted version of NIJZ’s tool could be considered, for efficiency of deliver, while maintaining trained staff in control of the answers provided. The AI support algorithm could be trained using a database of questions asked and advice provided over the years (if available) in Slovenia.</w:t>
            </w:r>
            <w:r w:rsidR="008929C9">
              <w:rPr>
                <w:rFonts w:ascii="Calibri" w:eastAsia="Times New Roman" w:hAnsi="Calibri" w:cs="Calibri"/>
                <w:kern w:val="0"/>
                <w:sz w:val="22"/>
                <w:szCs w:val="22"/>
                <w:lang w:val="en-GB"/>
                <w14:ligatures w14:val="none"/>
              </w:rPr>
              <w:t xml:space="preserve"> </w:t>
            </w:r>
          </w:p>
          <w:p w14:paraId="0A34EB55" w14:textId="6C8146FF"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p>
        </w:tc>
      </w:tr>
      <w:tr w:rsidR="00542C18" w:rsidRPr="00B973C7" w14:paraId="0C860D9E" w14:textId="77777777" w:rsidTr="00105A7A">
        <w:trPr>
          <w:trHeight w:val="776"/>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75FB9C40" w14:textId="6F5D9D2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lastRenderedPageBreak/>
              <w:t>Deliverables</w:t>
            </w:r>
          </w:p>
          <w:p w14:paraId="122C50B5" w14:textId="20DF893C" w:rsidR="00542C18"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365177">
              <w:rPr>
                <w:rFonts w:ascii="Calibri" w:eastAsia="Times New Roman" w:hAnsi="Calibri" w:cs="Calibri"/>
                <w:kern w:val="0"/>
                <w:sz w:val="22"/>
                <w:szCs w:val="22"/>
                <w:lang w:val="en-GB"/>
                <w14:ligatures w14:val="none"/>
              </w:rPr>
              <w:t>D4.</w:t>
            </w:r>
            <w:r w:rsidR="005042BE" w:rsidRPr="00365177">
              <w:rPr>
                <w:rFonts w:ascii="Calibri" w:eastAsia="Times New Roman" w:hAnsi="Calibri" w:cs="Calibri"/>
                <w:kern w:val="0"/>
                <w:sz w:val="22"/>
                <w:szCs w:val="22"/>
                <w:lang w:val="en-GB"/>
                <w14:ligatures w14:val="none"/>
              </w:rPr>
              <w:t>1</w:t>
            </w:r>
            <w:r w:rsidRPr="00365177">
              <w:rPr>
                <w:rFonts w:ascii="Calibri" w:eastAsia="Times New Roman" w:hAnsi="Calibri" w:cs="Calibri"/>
                <w:kern w:val="0"/>
                <w:sz w:val="22"/>
                <w:szCs w:val="22"/>
                <w:lang w:val="en-GB"/>
                <w14:ligatures w14:val="none"/>
              </w:rPr>
              <w:t xml:space="preserve"> </w:t>
            </w:r>
            <w:r w:rsidR="006531A7">
              <w:rPr>
                <w:rFonts w:ascii="Calibri" w:eastAsia="Times New Roman" w:hAnsi="Calibri" w:cs="Calibri"/>
                <w:kern w:val="0"/>
                <w:sz w:val="22"/>
                <w:szCs w:val="22"/>
                <w:lang w:val="en-GB"/>
                <w14:ligatures w14:val="none"/>
              </w:rPr>
              <w:t xml:space="preserve">Systematic review </w:t>
            </w:r>
            <w:r w:rsidR="00DA453F">
              <w:rPr>
                <w:rFonts w:ascii="Calibri" w:eastAsia="Times New Roman" w:hAnsi="Calibri" w:cs="Calibri"/>
                <w:kern w:val="0"/>
                <w:sz w:val="22"/>
                <w:szCs w:val="22"/>
                <w:lang w:val="en-GB"/>
                <w14:ligatures w14:val="none"/>
              </w:rPr>
              <w:t>M6</w:t>
            </w:r>
          </w:p>
          <w:p w14:paraId="3C7F7CE0" w14:textId="317295F3" w:rsidR="006C5170" w:rsidRPr="00365177" w:rsidRDefault="006C5170" w:rsidP="00E627F2">
            <w:pPr>
              <w:widowControl w:val="0"/>
              <w:spacing w:after="0" w:line="240" w:lineRule="auto"/>
              <w:jc w:val="both"/>
              <w:rPr>
                <w:rFonts w:ascii="Calibri" w:eastAsia="Times New Roman" w:hAnsi="Calibri" w:cs="Calibri"/>
                <w:kern w:val="0"/>
                <w:sz w:val="22"/>
                <w:szCs w:val="22"/>
                <w:lang w:val="en-GB"/>
                <w14:ligatures w14:val="none"/>
              </w:rPr>
            </w:pPr>
            <w:r w:rsidRPr="006C5170">
              <w:rPr>
                <w:rFonts w:ascii="Calibri" w:eastAsia="Times New Roman" w:hAnsi="Calibri" w:cs="Calibri"/>
                <w:kern w:val="0"/>
                <w:sz w:val="22"/>
                <w:szCs w:val="22"/>
                <w:lang w:val="en-GB"/>
                <w14:ligatures w14:val="none"/>
              </w:rPr>
              <w:t>D4.</w:t>
            </w:r>
            <w:r>
              <w:rPr>
                <w:rFonts w:ascii="Calibri" w:eastAsia="Times New Roman" w:hAnsi="Calibri" w:cs="Calibri"/>
                <w:kern w:val="0"/>
                <w:sz w:val="22"/>
                <w:szCs w:val="22"/>
                <w:lang w:val="en-GB"/>
                <w14:ligatures w14:val="none"/>
              </w:rPr>
              <w:t>2</w:t>
            </w:r>
            <w:r w:rsidRPr="006C5170">
              <w:rPr>
                <w:rFonts w:ascii="Calibri" w:eastAsia="Times New Roman" w:hAnsi="Calibri" w:cs="Calibri"/>
                <w:kern w:val="0"/>
                <w:sz w:val="22"/>
                <w:szCs w:val="22"/>
                <w:lang w:val="en-GB"/>
                <w14:ligatures w14:val="none"/>
              </w:rPr>
              <w:t xml:space="preserve"> </w:t>
            </w:r>
            <w:r w:rsidR="006531A7">
              <w:rPr>
                <w:rFonts w:ascii="Calibri" w:eastAsia="Times New Roman" w:hAnsi="Calibri" w:cs="Calibri"/>
                <w:kern w:val="0"/>
                <w:sz w:val="22"/>
                <w:szCs w:val="22"/>
                <w:lang w:val="en-GB"/>
                <w14:ligatures w14:val="none"/>
              </w:rPr>
              <w:t xml:space="preserve">Report </w:t>
            </w:r>
            <w:r w:rsidR="00A143C6">
              <w:rPr>
                <w:rFonts w:ascii="Calibri" w:eastAsia="Times New Roman" w:hAnsi="Calibri" w:cs="Calibri"/>
                <w:kern w:val="0"/>
                <w:sz w:val="22"/>
                <w:szCs w:val="22"/>
                <w:lang w:val="en-GB"/>
                <w14:ligatures w14:val="none"/>
              </w:rPr>
              <w:t>on youth involvement</w:t>
            </w:r>
            <w:r w:rsidR="00B0457E">
              <w:rPr>
                <w:rFonts w:ascii="Calibri" w:eastAsia="Times New Roman" w:hAnsi="Calibri" w:cs="Calibri"/>
                <w:kern w:val="0"/>
                <w:sz w:val="22"/>
                <w:szCs w:val="22"/>
                <w:lang w:val="en-GB"/>
                <w14:ligatures w14:val="none"/>
              </w:rPr>
              <w:t xml:space="preserve"> in intervention de</w:t>
            </w:r>
            <w:r w:rsidR="007B4208">
              <w:rPr>
                <w:rFonts w:ascii="Calibri" w:eastAsia="Times New Roman" w:hAnsi="Calibri" w:cs="Calibri"/>
                <w:kern w:val="0"/>
                <w:sz w:val="22"/>
                <w:szCs w:val="22"/>
                <w:lang w:val="en-GB"/>
                <w14:ligatures w14:val="none"/>
              </w:rPr>
              <w:t>velopment</w:t>
            </w:r>
            <w:r w:rsidR="00DA453F">
              <w:rPr>
                <w:rFonts w:ascii="Calibri" w:eastAsia="Times New Roman" w:hAnsi="Calibri" w:cs="Calibri"/>
                <w:kern w:val="0"/>
                <w:sz w:val="22"/>
                <w:szCs w:val="22"/>
                <w:lang w:val="en-GB"/>
                <w14:ligatures w14:val="none"/>
              </w:rPr>
              <w:t xml:space="preserve"> M</w:t>
            </w:r>
            <w:r w:rsidR="00D53BC4">
              <w:rPr>
                <w:rFonts w:ascii="Calibri" w:eastAsia="Times New Roman" w:hAnsi="Calibri" w:cs="Calibri"/>
                <w:kern w:val="0"/>
                <w:sz w:val="22"/>
                <w:szCs w:val="22"/>
                <w:lang w:val="en-GB"/>
                <w14:ligatures w14:val="none"/>
              </w:rPr>
              <w:t>12</w:t>
            </w:r>
          </w:p>
          <w:p w14:paraId="146392CD" w14:textId="0F0C79DF" w:rsidR="005042BE" w:rsidRDefault="005042BE" w:rsidP="00E627F2">
            <w:pPr>
              <w:widowControl w:val="0"/>
              <w:spacing w:after="0" w:line="240" w:lineRule="auto"/>
              <w:jc w:val="both"/>
              <w:rPr>
                <w:rFonts w:ascii="Calibri" w:eastAsia="Times New Roman" w:hAnsi="Calibri" w:cs="Calibri"/>
                <w:kern w:val="0"/>
                <w:sz w:val="22"/>
                <w:szCs w:val="22"/>
                <w:lang w:val="en-GB"/>
                <w14:ligatures w14:val="none"/>
              </w:rPr>
            </w:pPr>
            <w:r w:rsidRPr="00365177">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3</w:t>
            </w:r>
            <w:r w:rsidR="00365177" w:rsidRPr="00365177">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Health and digital literacy intervention</w:t>
            </w:r>
            <w:r w:rsidR="00E928C3">
              <w:rPr>
                <w:rFonts w:ascii="Calibri" w:eastAsia="Times New Roman" w:hAnsi="Calibri" w:cs="Calibri"/>
                <w:kern w:val="0"/>
                <w:sz w:val="22"/>
                <w:szCs w:val="22"/>
                <w:lang w:val="en-GB"/>
                <w14:ligatures w14:val="none"/>
              </w:rPr>
              <w:t xml:space="preserve"> description</w:t>
            </w:r>
            <w:r w:rsidR="00DA453F">
              <w:rPr>
                <w:rFonts w:ascii="Calibri" w:eastAsia="Times New Roman" w:hAnsi="Calibri" w:cs="Calibri"/>
                <w:kern w:val="0"/>
                <w:sz w:val="22"/>
                <w:szCs w:val="22"/>
                <w:lang w:val="en-GB"/>
                <w14:ligatures w14:val="none"/>
              </w:rPr>
              <w:t xml:space="preserve"> M9</w:t>
            </w:r>
          </w:p>
          <w:p w14:paraId="342D675B" w14:textId="45A70E00" w:rsidR="007B3B3C" w:rsidRDefault="007B3B3C"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4</w:t>
            </w:r>
            <w:r>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Self-management of digital media use intervention</w:t>
            </w:r>
            <w:r w:rsidR="00E928C3">
              <w:rPr>
                <w:rFonts w:ascii="Calibri" w:eastAsia="Times New Roman" w:hAnsi="Calibri" w:cs="Calibri"/>
                <w:kern w:val="0"/>
                <w:sz w:val="22"/>
                <w:szCs w:val="22"/>
                <w:lang w:val="en-GB"/>
                <w14:ligatures w14:val="none"/>
              </w:rPr>
              <w:t xml:space="preserve"> description</w:t>
            </w:r>
            <w:r w:rsidR="00DA453F">
              <w:rPr>
                <w:rFonts w:ascii="Calibri" w:eastAsia="Times New Roman" w:hAnsi="Calibri" w:cs="Calibri"/>
                <w:kern w:val="0"/>
                <w:sz w:val="22"/>
                <w:szCs w:val="22"/>
                <w:lang w:val="en-GB"/>
                <w14:ligatures w14:val="none"/>
              </w:rPr>
              <w:t xml:space="preserve"> M9</w:t>
            </w:r>
          </w:p>
          <w:p w14:paraId="42970D57" w14:textId="3B92B979" w:rsidR="00756EE1" w:rsidRDefault="00756EE1"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D4.</w:t>
            </w:r>
            <w:r w:rsidR="006C5170">
              <w:rPr>
                <w:rFonts w:ascii="Calibri" w:eastAsia="Times New Roman" w:hAnsi="Calibri" w:cs="Calibri"/>
                <w:kern w:val="0"/>
                <w:sz w:val="22"/>
                <w:szCs w:val="22"/>
                <w:lang w:val="en-GB"/>
                <w14:ligatures w14:val="none"/>
              </w:rPr>
              <w:t>5</w:t>
            </w:r>
            <w:r w:rsidR="006163FE">
              <w:rPr>
                <w:rFonts w:ascii="Calibri" w:eastAsia="Times New Roman" w:hAnsi="Calibri" w:cs="Calibri"/>
                <w:kern w:val="0"/>
                <w:sz w:val="22"/>
                <w:szCs w:val="22"/>
                <w:lang w:val="en-GB"/>
                <w14:ligatures w14:val="none"/>
              </w:rPr>
              <w:t xml:space="preserve"> </w:t>
            </w:r>
            <w:r w:rsidR="00E928C3" w:rsidRPr="00E928C3">
              <w:rPr>
                <w:rFonts w:ascii="Calibri" w:eastAsia="Times New Roman" w:hAnsi="Calibri" w:cs="Calibri"/>
                <w:kern w:val="0"/>
                <w:sz w:val="22"/>
                <w:szCs w:val="22"/>
                <w:lang w:val="en-GB"/>
                <w14:ligatures w14:val="none"/>
              </w:rPr>
              <w:t>Healthy school environments and nudges intervention</w:t>
            </w:r>
            <w:r w:rsidR="00E928C3">
              <w:rPr>
                <w:rFonts w:ascii="Calibri" w:eastAsia="Times New Roman" w:hAnsi="Calibri" w:cs="Calibri"/>
                <w:kern w:val="0"/>
                <w:sz w:val="22"/>
                <w:szCs w:val="22"/>
                <w:lang w:val="en-GB"/>
                <w14:ligatures w14:val="none"/>
              </w:rPr>
              <w:t xml:space="preserve"> description</w:t>
            </w:r>
            <w:r w:rsidR="00DA453F">
              <w:rPr>
                <w:rFonts w:ascii="Calibri" w:eastAsia="Times New Roman" w:hAnsi="Calibri" w:cs="Calibri"/>
                <w:kern w:val="0"/>
                <w:sz w:val="22"/>
                <w:szCs w:val="22"/>
                <w:lang w:val="en-GB"/>
                <w14:ligatures w14:val="none"/>
              </w:rPr>
              <w:t xml:space="preserve"> M9</w:t>
            </w:r>
          </w:p>
          <w:p w14:paraId="5DF534DC" w14:textId="1DC094FC" w:rsidR="007D6BD1" w:rsidRPr="00365177" w:rsidRDefault="007D6BD1"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D4.6 </w:t>
            </w:r>
            <w:r w:rsidRPr="007D6BD1">
              <w:rPr>
                <w:rFonts w:ascii="Calibri" w:eastAsia="Times New Roman" w:hAnsi="Calibri" w:cs="Calibri"/>
                <w:kern w:val="0"/>
                <w:sz w:val="22"/>
                <w:szCs w:val="22"/>
                <w:lang w:val="en-GB"/>
                <w14:ligatures w14:val="none"/>
              </w:rPr>
              <w:t>Resource- and service-oriented intervention</w:t>
            </w:r>
            <w:r>
              <w:rPr>
                <w:rFonts w:ascii="Calibri" w:eastAsia="Times New Roman" w:hAnsi="Calibri" w:cs="Calibri"/>
                <w:kern w:val="0"/>
                <w:sz w:val="22"/>
                <w:szCs w:val="22"/>
                <w:lang w:val="en-GB"/>
                <w14:ligatures w14:val="none"/>
              </w:rPr>
              <w:t xml:space="preserve"> description</w:t>
            </w:r>
            <w:r w:rsidR="00DA453F">
              <w:rPr>
                <w:rFonts w:ascii="Calibri" w:eastAsia="Times New Roman" w:hAnsi="Calibri" w:cs="Calibri"/>
                <w:kern w:val="0"/>
                <w:sz w:val="22"/>
                <w:szCs w:val="22"/>
                <w:lang w:val="en-GB"/>
                <w14:ligatures w14:val="none"/>
              </w:rPr>
              <w:t xml:space="preserve"> M9</w:t>
            </w:r>
          </w:p>
          <w:p w14:paraId="2B2320AA" w14:textId="77777777" w:rsidR="00E14BA0" w:rsidRPr="00365177" w:rsidRDefault="00E14BA0" w:rsidP="00E627F2">
            <w:pPr>
              <w:widowControl w:val="0"/>
              <w:spacing w:after="0" w:line="240" w:lineRule="auto"/>
              <w:jc w:val="both"/>
              <w:rPr>
                <w:rFonts w:ascii="Calibri" w:eastAsia="Times New Roman" w:hAnsi="Calibri" w:cs="Calibri"/>
                <w:kern w:val="0"/>
                <w:sz w:val="22"/>
                <w:szCs w:val="22"/>
                <w:lang w:val="en-GB"/>
                <w14:ligatures w14:val="none"/>
              </w:rPr>
            </w:pPr>
          </w:p>
          <w:p w14:paraId="4920F4FD" w14:textId="77777777" w:rsidR="00542C18" w:rsidRPr="0036517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365177">
              <w:rPr>
                <w:rFonts w:ascii="Calibri" w:eastAsia="Times New Roman" w:hAnsi="Calibri" w:cs="Calibri"/>
                <w:b/>
                <w:bCs/>
                <w:kern w:val="0"/>
                <w:sz w:val="22"/>
                <w:szCs w:val="22"/>
                <w:lang w:val="en-GB"/>
                <w14:ligatures w14:val="none"/>
              </w:rPr>
              <w:t>Milestones</w:t>
            </w:r>
          </w:p>
          <w:p w14:paraId="4DCECE70" w14:textId="6E0EC2D9" w:rsidR="00423BD8" w:rsidRDefault="00423BD8"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M4.1 </w:t>
            </w:r>
            <w:r w:rsidR="00F3688C">
              <w:rPr>
                <w:rFonts w:ascii="Calibri" w:eastAsia="Times New Roman" w:hAnsi="Calibri" w:cs="Calibri"/>
                <w:kern w:val="0"/>
                <w:sz w:val="22"/>
                <w:szCs w:val="22"/>
                <w:lang w:val="en-GB"/>
                <w14:ligatures w14:val="none"/>
              </w:rPr>
              <w:t>I</w:t>
            </w:r>
            <w:r w:rsidR="00F3688C" w:rsidRPr="00F3688C">
              <w:rPr>
                <w:rFonts w:ascii="Calibri" w:eastAsia="Times New Roman" w:hAnsi="Calibri" w:cs="Calibri"/>
                <w:kern w:val="0"/>
                <w:sz w:val="22"/>
                <w:szCs w:val="22"/>
                <w:lang w:val="en-GB"/>
                <w14:ligatures w14:val="none"/>
              </w:rPr>
              <w:t>ntervention packages and implementation plans</w:t>
            </w:r>
            <w:r w:rsidR="00F3688C">
              <w:rPr>
                <w:rFonts w:ascii="Calibri" w:eastAsia="Times New Roman" w:hAnsi="Calibri" w:cs="Calibri"/>
                <w:kern w:val="0"/>
                <w:sz w:val="22"/>
                <w:szCs w:val="22"/>
                <w:lang w:val="en-GB"/>
                <w14:ligatures w14:val="none"/>
              </w:rPr>
              <w:t xml:space="preserve"> finalized</w:t>
            </w:r>
          </w:p>
          <w:p w14:paraId="6EFBA629" w14:textId="77777777" w:rsidR="00D72F88" w:rsidRDefault="00D72F88" w:rsidP="00E627F2">
            <w:pPr>
              <w:widowControl w:val="0"/>
              <w:spacing w:after="0" w:line="240" w:lineRule="auto"/>
              <w:jc w:val="both"/>
              <w:rPr>
                <w:rFonts w:ascii="Calibri" w:eastAsia="Times New Roman" w:hAnsi="Calibri" w:cs="Calibri"/>
                <w:b/>
                <w:bCs/>
                <w:kern w:val="0"/>
                <w:sz w:val="22"/>
                <w:szCs w:val="22"/>
                <w:lang w:val="en-GB"/>
                <w14:ligatures w14:val="none"/>
              </w:rPr>
            </w:pPr>
          </w:p>
          <w:p w14:paraId="109F03D0" w14:textId="26859D98"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2B739774" w14:textId="6CA60B8A" w:rsidR="00542C18" w:rsidRPr="00B973C7" w:rsidRDefault="003E00A4" w:rsidP="00E627F2">
            <w:pPr>
              <w:widowControl w:val="0"/>
              <w:spacing w:after="0" w:line="240" w:lineRule="auto"/>
              <w:jc w:val="both"/>
              <w:rPr>
                <w:rFonts w:ascii="Calibri" w:eastAsia="Times New Roman" w:hAnsi="Calibri" w:cs="Calibri"/>
                <w:kern w:val="0"/>
                <w:sz w:val="22"/>
                <w:szCs w:val="22"/>
                <w:lang w:val="en-GB"/>
                <w14:ligatures w14:val="none"/>
              </w:rPr>
            </w:pPr>
            <w:r w:rsidRPr="003E00A4">
              <w:rPr>
                <w:rFonts w:ascii="Calibri" w:eastAsia="Times New Roman" w:hAnsi="Calibri" w:cs="Calibri"/>
                <w:bCs/>
                <w:kern w:val="0"/>
                <w:sz w:val="22"/>
                <w:szCs w:val="22"/>
                <w:lang w:val="en-GB"/>
                <w14:ligatures w14:val="none"/>
              </w:rPr>
              <w:t>Individual-oriented interventions are typically designed on the implicit premise that individuals possess a sufficient degree of agency to modify their behaviours in response to health-promoting initiatives. However, this assumption may not hold uniformly across populations. Such interventions risk disproportionately benefiting individuals who already possess the requisite social, economic, and environmental resources to enact healthier choices, as well as those residing in contexts where such choices are more readily accessible. Consequently, a critical concern is that individual-oriented approaches may inadvertently exacerbate existing social inequalities in health by systematically privileging more advantaged groups.</w:t>
            </w:r>
          </w:p>
        </w:tc>
      </w:tr>
    </w:tbl>
    <w:p w14:paraId="3830645B" w14:textId="77777777" w:rsidR="00542C18" w:rsidRPr="00E627F2" w:rsidRDefault="00542C18" w:rsidP="00E627F2">
      <w:pPr>
        <w:autoSpaceDE w:val="0"/>
        <w:autoSpaceDN w:val="0"/>
        <w:adjustRightInd w:val="0"/>
        <w:spacing w:after="0" w:line="240" w:lineRule="auto"/>
        <w:jc w:val="both"/>
        <w:rPr>
          <w:rFonts w:ascii="Calibri" w:eastAsia="Calibri" w:hAnsi="Calibri" w:cs="Calibri"/>
          <w:i/>
          <w:iCs/>
          <w:color w:val="EE0000"/>
          <w:kern w:val="0"/>
          <w:sz w:val="11"/>
          <w:szCs w:val="11"/>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0"/>
      <w:commentRangeStart w:id="1"/>
      <w:r w:rsidRPr="00B973C7">
        <w:rPr>
          <w:rFonts w:ascii="Calibri" w:eastAsia="Times New Roman" w:hAnsi="Calibri" w:cs="Calibri"/>
          <w:b/>
          <w:bCs/>
          <w:kern w:val="0"/>
          <w:sz w:val="22"/>
          <w:szCs w:val="22"/>
          <w:lang w:val="en-GB"/>
          <w14:ligatures w14:val="none"/>
        </w:rPr>
        <w:t>State of the art and Ambition</w:t>
      </w:r>
      <w:commentRangeEnd w:id="0"/>
      <w:r w:rsidR="00B1616F">
        <w:rPr>
          <w:rStyle w:val="Merknadsreferanse"/>
          <w:rFonts w:ascii="Calibri" w:eastAsia="Times New Roman" w:hAnsi="Calibri" w:cs="Calibri"/>
          <w:b/>
          <w:bCs/>
          <w:kern w:val="0"/>
          <w:sz w:val="22"/>
          <w:szCs w:val="22"/>
          <w:lang w:val="en-GB"/>
          <w14:ligatures w14:val="none"/>
        </w:rPr>
        <w:commentReference w:id="0"/>
      </w:r>
      <w:commentRangeEnd w:id="1"/>
      <w:r w:rsidR="00F313C4">
        <w:rPr>
          <w:rStyle w:val="Merknadsreferanse"/>
        </w:rPr>
        <w:commentReference w:id="1"/>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2138DF5F" w14:textId="5289C234" w:rsidR="007E1A93" w:rsidRDefault="007E1A9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7E1A93">
        <w:rPr>
          <w:rFonts w:ascii="Calibri" w:eastAsia="Times New Roman" w:hAnsi="Calibri" w:cs="Calibri"/>
          <w:kern w:val="0"/>
          <w:sz w:val="22"/>
          <w:szCs w:val="22"/>
          <w:lang w:val="en-GB"/>
          <w14:ligatures w14:val="none"/>
        </w:rPr>
        <w:t>Adolescence represents a critical developmental period marked by substantial physiological, cognitive, emotional, and social transitions</w:t>
      </w:r>
      <w:r>
        <w:rPr>
          <w:rStyle w:val="Fotnotereferanse"/>
          <w:rFonts w:ascii="Calibri" w:eastAsia="Times New Roman" w:hAnsi="Calibri" w:cs="Calibri"/>
          <w:kern w:val="0"/>
          <w:sz w:val="22"/>
          <w:szCs w:val="22"/>
          <w:lang w:val="en-GB"/>
          <w14:ligatures w14:val="none"/>
        </w:rPr>
        <w:footnoteReference w:id="1"/>
      </w:r>
      <w:r w:rsidRPr="007E1A93">
        <w:rPr>
          <w:rFonts w:ascii="Calibri" w:eastAsia="Times New Roman" w:hAnsi="Calibri" w:cs="Calibri"/>
          <w:kern w:val="0"/>
          <w:sz w:val="22"/>
          <w:szCs w:val="22"/>
          <w:lang w:val="en-GB"/>
          <w14:ligatures w14:val="none"/>
        </w:rPr>
        <w:t>. For individuals aged 12–18 years, this stage is further characterized by key educational transitions, including movement from primary to secondary and subsequently to upper secondary education. These transitions are accompanied by increasing autonomy from guardians and expanding social contexts. While such changes provide important opportunities for personal development and identity formation, they also constitute a vulnerable phase in which health-risk behaviours may emerge.</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The development of behaviours associated with non-communicable diseases (NCDs) among adolescents is shaped by a complex interplay of individual, social, and environmental determinants. Schools provide a key setting for health promotion, offering a structured and potentially equitable platform to enhance health literacy</w:t>
      </w:r>
      <w:r w:rsidR="002A4235">
        <w:rPr>
          <w:rStyle w:val="Fotnotereferanse"/>
          <w:rFonts w:ascii="Calibri" w:eastAsia="Times New Roman" w:hAnsi="Calibri" w:cs="Calibri"/>
          <w:kern w:val="0"/>
          <w:sz w:val="22"/>
          <w:szCs w:val="22"/>
          <w:lang w:val="en-GB"/>
          <w14:ligatures w14:val="none"/>
        </w:rPr>
        <w:footnoteReference w:id="2"/>
      </w:r>
      <w:r w:rsidRPr="007E1A93">
        <w:rPr>
          <w:rFonts w:ascii="Calibri" w:eastAsia="Times New Roman" w:hAnsi="Calibri" w:cs="Calibri"/>
          <w:kern w:val="0"/>
          <w:sz w:val="22"/>
          <w:szCs w:val="22"/>
          <w:lang w:val="en-GB"/>
          <w14:ligatures w14:val="none"/>
        </w:rPr>
        <w:t>. However, the conceptualisation and measurement of adolescent health literacy remain inconsistent</w:t>
      </w:r>
      <w:r w:rsidR="0021385D">
        <w:rPr>
          <w:rStyle w:val="Fotnotereferanse"/>
          <w:rFonts w:ascii="Calibri" w:eastAsia="Times New Roman" w:hAnsi="Calibri" w:cs="Calibri"/>
          <w:kern w:val="0"/>
          <w:sz w:val="22"/>
          <w:szCs w:val="22"/>
          <w:lang w:val="en-GB"/>
          <w14:ligatures w14:val="none"/>
        </w:rPr>
        <w:footnoteReference w:id="3"/>
      </w:r>
      <w:r w:rsidRPr="007E1A93">
        <w:rPr>
          <w:rFonts w:ascii="Calibri" w:eastAsia="Times New Roman" w:hAnsi="Calibri" w:cs="Calibri"/>
          <w:kern w:val="0"/>
          <w:sz w:val="22"/>
          <w:szCs w:val="22"/>
          <w:lang w:val="en-GB"/>
          <w14:ligatures w14:val="none"/>
        </w:rPr>
        <w:t>, limiting both the comparability of findings and the evaluation of interventions.</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 xml:space="preserve">In addition, the rapid expansion of digital media has amplified exposure to health-related misinformation, posing a significant </w:t>
      </w:r>
      <w:r w:rsidRPr="007E1A93">
        <w:rPr>
          <w:rFonts w:ascii="Calibri" w:eastAsia="Times New Roman" w:hAnsi="Calibri" w:cs="Calibri"/>
          <w:kern w:val="0"/>
          <w:sz w:val="22"/>
          <w:szCs w:val="22"/>
          <w:lang w:val="en-GB"/>
          <w14:ligatures w14:val="none"/>
        </w:rPr>
        <w:lastRenderedPageBreak/>
        <w:t>challenge to effective health promotion and the development of critical health literacy skills</w:t>
      </w:r>
      <w:r w:rsidR="0021385D">
        <w:rPr>
          <w:rStyle w:val="Fotnotereferanse"/>
          <w:rFonts w:ascii="Calibri" w:eastAsia="Times New Roman" w:hAnsi="Calibri" w:cs="Calibri"/>
          <w:kern w:val="0"/>
          <w:sz w:val="22"/>
          <w:szCs w:val="22"/>
          <w:lang w:val="en-GB"/>
          <w14:ligatures w14:val="none"/>
        </w:rPr>
        <w:footnoteReference w:id="4"/>
      </w:r>
      <w:r w:rsidRPr="007E1A93">
        <w:rPr>
          <w:rFonts w:ascii="Calibri" w:eastAsia="Times New Roman" w:hAnsi="Calibri" w:cs="Calibri"/>
          <w:kern w:val="0"/>
          <w:sz w:val="22"/>
          <w:szCs w:val="22"/>
          <w:lang w:val="en-GB"/>
          <w14:ligatures w14:val="none"/>
        </w:rPr>
        <w:t>. Addressing this issue requires innovative, context-sensitive approaches. Meaningful adolescent involvement in intervention design and implementation has been proposed as a promising strategy to improve relevance and engagement although empirical evidence remains limited</w:t>
      </w:r>
      <w:r w:rsidR="00F313C4">
        <w:rPr>
          <w:rStyle w:val="Fotnotereferanse"/>
          <w:rFonts w:ascii="Calibri" w:eastAsia="Times New Roman" w:hAnsi="Calibri" w:cs="Calibri"/>
          <w:kern w:val="0"/>
          <w:sz w:val="22"/>
          <w:szCs w:val="22"/>
          <w:lang w:val="en-GB"/>
          <w14:ligatures w14:val="none"/>
        </w:rPr>
        <w:footnoteReference w:id="5"/>
      </w:r>
      <w:r w:rsidRPr="007E1A93">
        <w:rPr>
          <w:rFonts w:ascii="Calibri" w:eastAsia="Times New Roman" w:hAnsi="Calibri" w:cs="Calibri"/>
          <w:kern w:val="0"/>
          <w:sz w:val="22"/>
          <w:szCs w:val="22"/>
          <w:lang w:val="en-GB"/>
          <w14:ligatures w14:val="none"/>
        </w:rPr>
        <w:t>.</w:t>
      </w:r>
      <w:r w:rsidR="00D9420B">
        <w:rPr>
          <w:rFonts w:ascii="Calibri" w:eastAsia="Times New Roman" w:hAnsi="Calibri" w:cs="Calibri"/>
          <w:kern w:val="0"/>
          <w:sz w:val="22"/>
          <w:szCs w:val="22"/>
          <w:lang w:val="en-GB"/>
          <w14:ligatures w14:val="none"/>
        </w:rPr>
        <w:t xml:space="preserve"> </w:t>
      </w:r>
      <w:r w:rsidRPr="007E1A93">
        <w:rPr>
          <w:rFonts w:ascii="Calibri" w:eastAsia="Times New Roman" w:hAnsi="Calibri" w:cs="Calibri"/>
          <w:kern w:val="0"/>
          <w:sz w:val="22"/>
          <w:szCs w:val="22"/>
          <w:lang w:val="en-GB"/>
          <w14:ligatures w14:val="none"/>
        </w:rPr>
        <w:t>The Z-HEALTH project aims to strengthen adolescent health literacy by addressing misinformation and implementing intervention studies grounded in participatory, co-creative collaboration with adolescents, educators, health professionals, and parents.</w:t>
      </w:r>
    </w:p>
    <w:p w14:paraId="398FD0A6" w14:textId="2FDDFE97" w:rsidR="00C96B31" w:rsidRPr="005159BF" w:rsidRDefault="00FA460B"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5159BF">
        <w:rPr>
          <w:rFonts w:ascii="Calibri" w:eastAsia="Times New Roman" w:hAnsi="Calibri" w:cs="Calibri"/>
          <w:kern w:val="0"/>
          <w:sz w:val="22"/>
          <w:szCs w:val="22"/>
          <w:lang w:val="en-GB"/>
          <w14:ligatures w14:val="none"/>
        </w:rPr>
        <w:t xml:space="preserve">  </w:t>
      </w:r>
      <w:r w:rsidR="00276A46" w:rsidRPr="005159BF">
        <w:rPr>
          <w:rFonts w:ascii="Calibri" w:eastAsia="Times New Roman" w:hAnsi="Calibri" w:cs="Calibri"/>
          <w:kern w:val="0"/>
          <w:sz w:val="22"/>
          <w:szCs w:val="22"/>
          <w:lang w:val="en-GB"/>
          <w14:ligatures w14:val="none"/>
        </w:rPr>
        <w:t xml:space="preserve"> </w:t>
      </w:r>
      <w:r w:rsidR="00C16429" w:rsidRPr="005159BF">
        <w:rPr>
          <w:rFonts w:ascii="Calibri" w:eastAsia="Times New Roman" w:hAnsi="Calibri" w:cs="Calibri"/>
          <w:kern w:val="0"/>
          <w:sz w:val="22"/>
          <w:szCs w:val="22"/>
          <w:lang w:val="en-GB"/>
          <w14:ligatures w14:val="none"/>
        </w:rPr>
        <w:t xml:space="preserve"> </w:t>
      </w:r>
      <w:r w:rsidR="00467BEF" w:rsidRPr="005159BF">
        <w:rPr>
          <w:rFonts w:ascii="Calibri" w:eastAsia="Times New Roman" w:hAnsi="Calibri" w:cs="Calibri"/>
          <w:kern w:val="0"/>
          <w:sz w:val="22"/>
          <w:szCs w:val="22"/>
          <w:lang w:val="en-GB"/>
          <w14:ligatures w14:val="none"/>
        </w:rPr>
        <w:t xml:space="preserve">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2" w:name="_Hlk146208981"/>
    </w:p>
    <w:bookmarkEnd w:id="2"/>
    <w:p w14:paraId="096B09A0" w14:textId="02C6C1F1" w:rsidR="000A6895"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3"/>
      <w:commentRangeStart w:id="4"/>
      <w:r w:rsidRPr="00B973C7">
        <w:rPr>
          <w:rFonts w:ascii="Calibri" w:eastAsia="Times New Roman" w:hAnsi="Calibri" w:cs="Calibri"/>
          <w:b/>
          <w:kern w:val="0"/>
          <w:sz w:val="22"/>
          <w:szCs w:val="22"/>
          <w:lang w:val="en-GB"/>
          <w14:ligatures w14:val="none"/>
        </w:rPr>
        <w:t>Overall methodology</w:t>
      </w:r>
      <w:commentRangeEnd w:id="3"/>
      <w:r w:rsidR="00E627F2">
        <w:rPr>
          <w:rStyle w:val="Merknadsreferanse"/>
          <w:rFonts w:ascii="Calibri" w:eastAsia="Times New Roman" w:hAnsi="Calibri" w:cs="Calibri"/>
          <w:b/>
          <w:kern w:val="0"/>
          <w:sz w:val="22"/>
          <w:szCs w:val="22"/>
          <w:lang w:val="en-GB"/>
          <w14:ligatures w14:val="none"/>
        </w:rPr>
        <w:commentReference w:id="3"/>
      </w:r>
      <w:commentRangeEnd w:id="4"/>
      <w:r w:rsidR="001A380F">
        <w:rPr>
          <w:rStyle w:val="Merknadsreferanse"/>
        </w:rPr>
        <w:commentReference w:id="4"/>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3AD12B79" w14:textId="4953B908" w:rsidR="00A8790A" w:rsidRDefault="002203F3"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2203F3">
        <w:rPr>
          <w:rFonts w:ascii="Calibri" w:eastAsia="Times New Roman" w:hAnsi="Calibri" w:cs="Calibri"/>
          <w:kern w:val="0"/>
          <w:sz w:val="22"/>
          <w:szCs w:val="22"/>
          <w:lang w:val="en-GB"/>
          <w14:ligatures w14:val="none"/>
        </w:rPr>
        <w:t>Health promotion initiatives targeting children and adolescents have been extensively studied over recent decades. However, the rapidly evolving digital environment has introduced a proliferation of alternative information sources, many of which may adversely influence adolescents’ health behaviours and perceptions. In response, Z-HEALTH will implement a set of integrated interventions across four key policy domains, with a strong emphasis on empowerment and self-management</w:t>
      </w:r>
      <w:r w:rsidR="00091F2E">
        <w:rPr>
          <w:rFonts w:ascii="Calibri" w:eastAsia="Times New Roman" w:hAnsi="Calibri" w:cs="Calibri"/>
          <w:kern w:val="0"/>
          <w:sz w:val="22"/>
          <w:szCs w:val="22"/>
          <w:lang w:val="en-GB"/>
          <w14:ligatures w14:val="none"/>
        </w:rPr>
        <w:t xml:space="preserve"> through c</w:t>
      </w:r>
      <w:r w:rsidR="00601CB7" w:rsidRPr="00601CB7">
        <w:rPr>
          <w:rFonts w:ascii="Calibri" w:eastAsia="Times New Roman" w:hAnsi="Calibri" w:cs="Calibri"/>
          <w:kern w:val="0"/>
          <w:sz w:val="22"/>
          <w:szCs w:val="22"/>
          <w:lang w:val="en-GB"/>
          <w14:ligatures w14:val="none"/>
        </w:rPr>
        <w:t>lass-based activities; changes in school environment; resources and services for individual use.</w:t>
      </w:r>
      <w:r w:rsidR="00091F2E">
        <w:rPr>
          <w:rFonts w:ascii="Calibri" w:eastAsia="Times New Roman" w:hAnsi="Calibri" w:cs="Calibri"/>
          <w:kern w:val="0"/>
          <w:sz w:val="22"/>
          <w:szCs w:val="22"/>
          <w:lang w:val="en-GB"/>
          <w14:ligatures w14:val="none"/>
        </w:rPr>
        <w:t xml:space="preserve"> </w:t>
      </w:r>
      <w:r w:rsidR="00601CB7" w:rsidRPr="00601CB7">
        <w:rPr>
          <w:rFonts w:ascii="Calibri" w:eastAsia="Times New Roman" w:hAnsi="Calibri" w:cs="Calibri"/>
          <w:kern w:val="0"/>
          <w:sz w:val="22"/>
          <w:szCs w:val="22"/>
          <w:lang w:val="en-GB"/>
          <w14:ligatures w14:val="none"/>
        </w:rPr>
        <w:t>The intervention approach will be consistent with WHO’s guidelines on Health Promoting Schools</w:t>
      </w:r>
      <w:r w:rsidR="007F6E1E">
        <w:rPr>
          <w:rStyle w:val="Fotnotereferanse"/>
          <w:rFonts w:ascii="Calibri" w:eastAsia="Times New Roman" w:hAnsi="Calibri" w:cs="Calibri"/>
          <w:kern w:val="0"/>
          <w:sz w:val="22"/>
          <w:szCs w:val="22"/>
          <w:lang w:val="en-GB"/>
          <w14:ligatures w14:val="none"/>
        </w:rPr>
        <w:footnoteReference w:id="6"/>
      </w:r>
      <w:r w:rsidR="00601CB7" w:rsidRPr="00601CB7">
        <w:rPr>
          <w:rFonts w:ascii="Calibri" w:eastAsia="Times New Roman" w:hAnsi="Calibri" w:cs="Calibri"/>
          <w:kern w:val="0"/>
          <w:sz w:val="22"/>
          <w:szCs w:val="22"/>
          <w:lang w:val="en-GB"/>
          <w14:ligatures w14:val="none"/>
        </w:rPr>
        <w:t xml:space="preserve">, and with </w:t>
      </w:r>
      <w:proofErr w:type="spellStart"/>
      <w:r w:rsidR="00601CB7" w:rsidRPr="00601CB7">
        <w:rPr>
          <w:rFonts w:ascii="Calibri" w:eastAsia="Times New Roman" w:hAnsi="Calibri" w:cs="Calibri"/>
          <w:kern w:val="0"/>
          <w:sz w:val="22"/>
          <w:szCs w:val="22"/>
          <w:lang w:val="en-GB"/>
          <w14:ligatures w14:val="none"/>
        </w:rPr>
        <w:t>EuroHealthNet’s</w:t>
      </w:r>
      <w:proofErr w:type="spellEnd"/>
      <w:r w:rsidR="00601CB7" w:rsidRPr="00601CB7">
        <w:rPr>
          <w:rFonts w:ascii="Calibri" w:eastAsia="Times New Roman" w:hAnsi="Calibri" w:cs="Calibri"/>
          <w:kern w:val="0"/>
          <w:sz w:val="22"/>
          <w:szCs w:val="22"/>
          <w:lang w:val="en-GB"/>
          <w14:ligatures w14:val="none"/>
        </w:rPr>
        <w:t xml:space="preserve"> Schools4Health programme</w:t>
      </w:r>
      <w:r w:rsidR="008C1BD2">
        <w:rPr>
          <w:rStyle w:val="Fotnotereferanse"/>
          <w:rFonts w:ascii="Calibri" w:eastAsia="Times New Roman" w:hAnsi="Calibri" w:cs="Calibri"/>
          <w:kern w:val="0"/>
          <w:sz w:val="22"/>
          <w:szCs w:val="22"/>
          <w:lang w:val="en-GB"/>
          <w14:ligatures w14:val="none"/>
        </w:rPr>
        <w:footnoteReference w:id="7"/>
      </w:r>
      <w:r w:rsidR="00601CB7" w:rsidRPr="00601CB7">
        <w:rPr>
          <w:rFonts w:ascii="Calibri" w:eastAsia="Times New Roman" w:hAnsi="Calibri" w:cs="Calibri"/>
          <w:kern w:val="0"/>
          <w:sz w:val="22"/>
          <w:szCs w:val="22"/>
          <w:lang w:val="en-GB"/>
          <w14:ligatures w14:val="none"/>
        </w:rPr>
        <w:t>. Inclusiveness and sustainability will be key pillars of the intervention approach.</w:t>
      </w:r>
      <w:r w:rsidR="00091F2E">
        <w:rPr>
          <w:rFonts w:ascii="Calibri" w:eastAsia="Times New Roman" w:hAnsi="Calibri" w:cs="Calibri"/>
          <w:kern w:val="0"/>
          <w:sz w:val="22"/>
          <w:szCs w:val="22"/>
          <w:lang w:val="en-GB"/>
          <w14:ligatures w14:val="none"/>
        </w:rPr>
        <w:t xml:space="preserve"> </w:t>
      </w:r>
      <w:r w:rsidR="0099027C" w:rsidRPr="0099027C">
        <w:rPr>
          <w:rFonts w:ascii="Calibri" w:eastAsia="Times New Roman" w:hAnsi="Calibri" w:cs="Calibri"/>
          <w:kern w:val="0"/>
          <w:sz w:val="22"/>
          <w:szCs w:val="22"/>
          <w:lang w:val="en-GB"/>
          <w14:ligatures w14:val="none"/>
        </w:rPr>
        <w:t xml:space="preserve">First, a </w:t>
      </w:r>
      <w:r w:rsidR="0099027C" w:rsidRPr="0099027C">
        <w:rPr>
          <w:rFonts w:ascii="Calibri" w:eastAsia="Times New Roman" w:hAnsi="Calibri" w:cs="Calibri"/>
          <w:kern w:val="0"/>
          <w:sz w:val="22"/>
          <w:szCs w:val="22"/>
          <w:u w:val="single"/>
          <w:lang w:val="en-GB"/>
          <w14:ligatures w14:val="none"/>
        </w:rPr>
        <w:t>health and digital literacy programme</w:t>
      </w:r>
      <w:r w:rsidR="0099027C" w:rsidRPr="0099027C">
        <w:rPr>
          <w:rFonts w:ascii="Calibri" w:eastAsia="Times New Roman" w:hAnsi="Calibri" w:cs="Calibri"/>
          <w:kern w:val="0"/>
          <w:sz w:val="22"/>
          <w:szCs w:val="22"/>
          <w:lang w:val="en-GB"/>
          <w14:ligatures w14:val="none"/>
        </w:rPr>
        <w:t xml:space="preserve"> will be co-created with adolescents and relevant local stakeholders, including school health services and community nurses where appropriate. This process will begin with a comprehensive needs assessment, followed by the development of an intervention plan comprising tailored health literacy materials and interactive, class-based sessions. Dedicated components will address digital literacy, with a focus on critically accessing and evaluating health information in digital media environments.</w:t>
      </w:r>
      <w:r w:rsidR="00F50CD9">
        <w:rPr>
          <w:rFonts w:ascii="Calibri" w:eastAsia="Times New Roman" w:hAnsi="Calibri" w:cs="Calibri"/>
          <w:kern w:val="0"/>
          <w:sz w:val="22"/>
          <w:szCs w:val="22"/>
          <w:lang w:val="en-GB"/>
          <w14:ligatures w14:val="none"/>
        </w:rPr>
        <w:t xml:space="preserve"> </w:t>
      </w:r>
      <w:r w:rsidR="00F50CD9" w:rsidRPr="00F50CD9">
        <w:rPr>
          <w:rFonts w:ascii="Calibri" w:eastAsia="Times New Roman" w:hAnsi="Calibri" w:cs="Calibri"/>
          <w:kern w:val="0"/>
          <w:sz w:val="22"/>
          <w:szCs w:val="22"/>
          <w:lang w:val="en-GB"/>
          <w14:ligatures w14:val="none"/>
        </w:rPr>
        <w:t xml:space="preserve">Second, </w:t>
      </w:r>
      <w:r w:rsidR="00F50CD9" w:rsidRPr="00F50CD9">
        <w:rPr>
          <w:rFonts w:ascii="Calibri" w:eastAsia="Times New Roman" w:hAnsi="Calibri" w:cs="Calibri"/>
          <w:kern w:val="0"/>
          <w:sz w:val="22"/>
          <w:szCs w:val="22"/>
          <w:u w:val="single"/>
          <w:lang w:val="en-GB"/>
          <w14:ligatures w14:val="none"/>
        </w:rPr>
        <w:t>self-management interventions targeting digital media use</w:t>
      </w:r>
      <w:r w:rsidR="00F50CD9" w:rsidRPr="00F50CD9">
        <w:rPr>
          <w:rFonts w:ascii="Calibri" w:eastAsia="Times New Roman" w:hAnsi="Calibri" w:cs="Calibri"/>
          <w:kern w:val="0"/>
          <w:sz w:val="22"/>
          <w:szCs w:val="22"/>
          <w:lang w:val="en-GB"/>
          <w14:ligatures w14:val="none"/>
        </w:rPr>
        <w:t xml:space="preserve"> will be offered to adolescents and their families who voluntarily participate. These programmes will support participants in modifying social media settings to reduce exposure to attention-capturing and potentially addictive features. Components will include tools for content access management, sleep duration and attention regulation, and notification frequency reduction</w:t>
      </w:r>
      <w:r w:rsidR="000D4491">
        <w:rPr>
          <w:rFonts w:ascii="Calibri" w:eastAsia="Times New Roman" w:hAnsi="Calibri" w:cs="Calibri"/>
          <w:kern w:val="0"/>
          <w:sz w:val="22"/>
          <w:szCs w:val="22"/>
          <w:lang w:val="en-GB"/>
          <w14:ligatures w14:val="none"/>
        </w:rPr>
        <w:t xml:space="preserve">. </w:t>
      </w:r>
      <w:r w:rsidR="004E010F" w:rsidRPr="004E010F">
        <w:rPr>
          <w:rFonts w:ascii="Calibri" w:eastAsia="Times New Roman" w:hAnsi="Calibri" w:cs="Calibri"/>
          <w:kern w:val="0"/>
          <w:sz w:val="22"/>
          <w:szCs w:val="22"/>
          <w:lang w:val="en-GB"/>
          <w14:ligatures w14:val="none"/>
        </w:rPr>
        <w:t xml:space="preserve">Third, interventions will address </w:t>
      </w:r>
      <w:r w:rsidR="004E010F" w:rsidRPr="004E010F">
        <w:rPr>
          <w:rFonts w:ascii="Calibri" w:eastAsia="Times New Roman" w:hAnsi="Calibri" w:cs="Calibri"/>
          <w:kern w:val="0"/>
          <w:sz w:val="22"/>
          <w:szCs w:val="22"/>
          <w:u w:val="single"/>
          <w:lang w:val="en-GB"/>
          <w14:ligatures w14:val="none"/>
        </w:rPr>
        <w:t>healthy school environments</w:t>
      </w:r>
      <w:r w:rsidR="004E010F" w:rsidRPr="004E010F">
        <w:rPr>
          <w:rFonts w:ascii="Calibri" w:eastAsia="Times New Roman" w:hAnsi="Calibri" w:cs="Calibri"/>
          <w:kern w:val="0"/>
          <w:sz w:val="22"/>
          <w:szCs w:val="22"/>
          <w:lang w:val="en-GB"/>
          <w14:ligatures w14:val="none"/>
        </w:rPr>
        <w:t xml:space="preserve"> through a combination of food provision strategies, nutrition standards, and behavioural “nudges” (e.g., portion size, food presentation, and positioning). Where feasible and sustainable, these initiatives may be integrated with physical activity interventions. In addition, the feasibility of smartphone-free school environments will be explored. </w:t>
      </w:r>
      <w:r w:rsidR="000D4491" w:rsidRPr="000D4491">
        <w:rPr>
          <w:rFonts w:ascii="Calibri" w:eastAsia="Times New Roman" w:hAnsi="Calibri" w:cs="Calibri"/>
          <w:kern w:val="0"/>
          <w:sz w:val="22"/>
          <w:szCs w:val="22"/>
          <w:lang w:val="en-GB"/>
          <w14:ligatures w14:val="none"/>
        </w:rPr>
        <w:t xml:space="preserve">Fourth, </w:t>
      </w:r>
      <w:r w:rsidR="000D4491" w:rsidRPr="000D4491">
        <w:rPr>
          <w:rFonts w:ascii="Calibri" w:eastAsia="Times New Roman" w:hAnsi="Calibri" w:cs="Calibri"/>
          <w:kern w:val="0"/>
          <w:sz w:val="22"/>
          <w:szCs w:val="22"/>
          <w:u w:val="single"/>
          <w:lang w:val="en-GB"/>
          <w14:ligatures w14:val="none"/>
        </w:rPr>
        <w:t>resource- and service-oriented environmental interventions</w:t>
      </w:r>
      <w:r w:rsidR="000D4491" w:rsidRPr="000D4491">
        <w:rPr>
          <w:rFonts w:ascii="Calibri" w:eastAsia="Times New Roman" w:hAnsi="Calibri" w:cs="Calibri"/>
          <w:kern w:val="0"/>
          <w:sz w:val="22"/>
          <w:szCs w:val="22"/>
          <w:lang w:val="en-GB"/>
          <w14:ligatures w14:val="none"/>
        </w:rPr>
        <w:t xml:space="preserve"> will aim to empower adolescents to seek and obtain confidential advice and counselling from trained professionals, with particular emphasis on mental health. This may involve adapting the Slovenian NIJZ “To </w:t>
      </w:r>
      <w:proofErr w:type="spellStart"/>
      <w:r w:rsidR="000D4491" w:rsidRPr="000D4491">
        <w:rPr>
          <w:rFonts w:ascii="Calibri" w:eastAsia="Times New Roman" w:hAnsi="Calibri" w:cs="Calibri"/>
          <w:kern w:val="0"/>
          <w:sz w:val="22"/>
          <w:szCs w:val="22"/>
          <w:lang w:val="en-GB"/>
          <w14:ligatures w14:val="none"/>
        </w:rPr>
        <w:t>sem</w:t>
      </w:r>
      <w:proofErr w:type="spellEnd"/>
      <w:r w:rsidR="000D4491" w:rsidRPr="000D4491">
        <w:rPr>
          <w:rFonts w:ascii="Calibri" w:eastAsia="Times New Roman" w:hAnsi="Calibri" w:cs="Calibri"/>
          <w:kern w:val="0"/>
          <w:sz w:val="22"/>
          <w:szCs w:val="22"/>
          <w:lang w:val="en-GB"/>
          <w14:ligatures w14:val="none"/>
        </w:rPr>
        <w:t xml:space="preserve"> </w:t>
      </w:r>
      <w:proofErr w:type="spellStart"/>
      <w:r w:rsidR="000D4491" w:rsidRPr="000D4491">
        <w:rPr>
          <w:rFonts w:ascii="Calibri" w:eastAsia="Times New Roman" w:hAnsi="Calibri" w:cs="Calibri"/>
          <w:kern w:val="0"/>
          <w:sz w:val="22"/>
          <w:szCs w:val="22"/>
          <w:lang w:val="en-GB"/>
          <w14:ligatures w14:val="none"/>
        </w:rPr>
        <w:t>jaz</w:t>
      </w:r>
      <w:proofErr w:type="spellEnd"/>
      <w:r w:rsidR="000D4491" w:rsidRPr="000D4491">
        <w:rPr>
          <w:rFonts w:ascii="Calibri" w:eastAsia="Times New Roman" w:hAnsi="Calibri" w:cs="Calibri"/>
          <w:kern w:val="0"/>
          <w:sz w:val="22"/>
          <w:szCs w:val="22"/>
          <w:lang w:val="en-GB"/>
          <w14:ligatures w14:val="none"/>
        </w:rPr>
        <w:t>” digital counselling model to other contexts.</w:t>
      </w:r>
      <w:r w:rsidR="002C59FA">
        <w:rPr>
          <w:rFonts w:ascii="Calibri" w:eastAsia="Times New Roman" w:hAnsi="Calibri" w:cs="Calibri"/>
          <w:kern w:val="0"/>
          <w:sz w:val="22"/>
          <w:szCs w:val="22"/>
          <w:lang w:val="en-GB"/>
          <w14:ligatures w14:val="none"/>
        </w:rPr>
        <w:t xml:space="preserve"> </w:t>
      </w:r>
      <w:r w:rsidR="0057398D" w:rsidRPr="0057398D">
        <w:rPr>
          <w:rFonts w:ascii="Calibri" w:eastAsia="Times New Roman" w:hAnsi="Calibri" w:cs="Calibri"/>
          <w:kern w:val="0"/>
          <w:sz w:val="22"/>
          <w:szCs w:val="22"/>
          <w:lang w:val="en-GB"/>
          <w14:ligatures w14:val="none"/>
        </w:rPr>
        <w:t>All interventions will be developed through co-creative</w:t>
      </w:r>
      <w:r w:rsidR="0057398D">
        <w:rPr>
          <w:rFonts w:ascii="Calibri" w:eastAsia="Times New Roman" w:hAnsi="Calibri" w:cs="Calibri"/>
          <w:kern w:val="0"/>
          <w:sz w:val="22"/>
          <w:szCs w:val="22"/>
          <w:lang w:val="en-GB"/>
          <w14:ligatures w14:val="none"/>
        </w:rPr>
        <w:t xml:space="preserve"> </w:t>
      </w:r>
      <w:r w:rsidR="00541649">
        <w:rPr>
          <w:rFonts w:ascii="Calibri" w:eastAsia="Times New Roman" w:hAnsi="Calibri" w:cs="Calibri"/>
          <w:kern w:val="0"/>
          <w:sz w:val="22"/>
          <w:szCs w:val="22"/>
          <w:lang w:val="en-GB"/>
          <w14:ligatures w14:val="none"/>
        </w:rPr>
        <w:t>group model building workshops</w:t>
      </w:r>
      <w:r w:rsidR="00B83B08">
        <w:rPr>
          <w:rStyle w:val="Fotnotereferanse"/>
          <w:rFonts w:ascii="Calibri" w:eastAsia="Times New Roman" w:hAnsi="Calibri" w:cs="Calibri"/>
          <w:kern w:val="0"/>
          <w:sz w:val="22"/>
          <w:szCs w:val="22"/>
          <w:lang w:val="en-GB"/>
          <w14:ligatures w14:val="none"/>
        </w:rPr>
        <w:footnoteReference w:id="8"/>
      </w:r>
      <w:r w:rsidR="00B83B08" w:rsidRPr="00B83B08">
        <w:rPr>
          <w:rFonts w:ascii="Calibri" w:eastAsia="Times New Roman" w:hAnsi="Calibri" w:cs="Calibri"/>
          <w:kern w:val="0"/>
          <w:sz w:val="22"/>
          <w:szCs w:val="22"/>
          <w:vertAlign w:val="superscript"/>
          <w:lang w:val="en-GB"/>
          <w14:ligatures w14:val="none"/>
        </w:rPr>
        <w:t>,</w:t>
      </w:r>
      <w:r w:rsidR="004618B3">
        <w:rPr>
          <w:rStyle w:val="Fotnotereferanse"/>
          <w:rFonts w:ascii="Calibri" w:eastAsia="Times New Roman" w:hAnsi="Calibri" w:cs="Calibri"/>
          <w:kern w:val="0"/>
          <w:sz w:val="22"/>
          <w:szCs w:val="22"/>
          <w:lang w:val="en-GB"/>
          <w14:ligatures w14:val="none"/>
        </w:rPr>
        <w:footnoteReference w:id="9"/>
      </w:r>
      <w:r w:rsidR="00541649">
        <w:rPr>
          <w:rFonts w:ascii="Calibri" w:eastAsia="Times New Roman" w:hAnsi="Calibri" w:cs="Calibri"/>
          <w:kern w:val="0"/>
          <w:sz w:val="22"/>
          <w:szCs w:val="22"/>
          <w:lang w:val="en-GB"/>
          <w14:ligatures w14:val="none"/>
        </w:rPr>
        <w:t xml:space="preserve"> </w:t>
      </w:r>
      <w:r w:rsidR="005964F3" w:rsidRPr="005964F3">
        <w:rPr>
          <w:rFonts w:ascii="Calibri" w:eastAsia="Times New Roman" w:hAnsi="Calibri" w:cs="Calibri"/>
          <w:kern w:val="0"/>
          <w:sz w:val="22"/>
          <w:szCs w:val="22"/>
          <w:lang w:val="en-GB"/>
          <w14:ligatures w14:val="none"/>
        </w:rPr>
        <w:t>workshops involving adolescents, educators, parents, and health professionals at each site. These workshops will generate shared conceptual models of key drivers of NCD-related risk behaviours, informing context-specific intervention plans. Health equity considerations will be systematically assessed using a dedicated health equity audit tool</w:t>
      </w:r>
      <w:r w:rsidR="00CF3B8F">
        <w:rPr>
          <w:rStyle w:val="Fotnotereferanse"/>
          <w:rFonts w:ascii="Calibri" w:eastAsia="Times New Roman" w:hAnsi="Calibri" w:cs="Calibri"/>
          <w:kern w:val="0"/>
          <w:sz w:val="22"/>
          <w:szCs w:val="22"/>
          <w:lang w:val="en-GB"/>
          <w14:ligatures w14:val="none"/>
        </w:rPr>
        <w:footnoteReference w:id="10"/>
      </w:r>
      <w:r w:rsidR="00CF3B8F">
        <w:rPr>
          <w:rFonts w:ascii="Calibri" w:eastAsia="Times New Roman" w:hAnsi="Calibri" w:cs="Calibri"/>
          <w:kern w:val="0"/>
          <w:sz w:val="22"/>
          <w:szCs w:val="22"/>
          <w:lang w:val="en-GB"/>
          <w14:ligatures w14:val="none"/>
        </w:rPr>
        <w:t>.</w:t>
      </w:r>
    </w:p>
    <w:p w14:paraId="0D31A3FE" w14:textId="77777777" w:rsidR="00CF3B8F" w:rsidRPr="00884027" w:rsidRDefault="00CF3B8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55E51BEA" w14:textId="50EB2AF4" w:rsidR="00E627F2" w:rsidRPr="00E627F2" w:rsidRDefault="00E627F2" w:rsidP="00E627F2">
      <w:pPr>
        <w:spacing w:after="0"/>
        <w:rPr>
          <w:sz w:val="10"/>
          <w:szCs w:val="10"/>
        </w:rPr>
      </w:pPr>
    </w:p>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5"/>
      <w:commentRangeStart w:id="6"/>
      <w:r w:rsidRPr="00B973C7">
        <w:rPr>
          <w:rFonts w:ascii="Calibri" w:eastAsia="Times New Roman" w:hAnsi="Calibri" w:cs="Calibri"/>
          <w:b/>
          <w:kern w:val="0"/>
          <w:sz w:val="22"/>
          <w:szCs w:val="22"/>
          <w:lang w:val="en-GB"/>
          <w14:ligatures w14:val="none"/>
        </w:rPr>
        <w:t>Interaction with other projects</w:t>
      </w:r>
      <w:commentRangeEnd w:id="5"/>
      <w:r w:rsidR="00E627F2" w:rsidRPr="00B973C7">
        <w:rPr>
          <w:rStyle w:val="Merknadsreferanse"/>
          <w:rFonts w:ascii="Calibri" w:eastAsia="Times New Roman" w:hAnsi="Calibri" w:cs="Calibri"/>
          <w:b/>
          <w:kern w:val="0"/>
          <w:sz w:val="22"/>
          <w:szCs w:val="22"/>
          <w:lang w:val="en-GB"/>
          <w14:ligatures w14:val="none"/>
        </w:rPr>
        <w:commentReference w:id="5"/>
      </w:r>
      <w:commentRangeEnd w:id="6"/>
      <w:r w:rsidR="00F313C4">
        <w:rPr>
          <w:rStyle w:val="Merknadsreferanse"/>
        </w:rPr>
        <w:commentReference w:id="6"/>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D403425" w14:textId="7DB906D3" w:rsidR="00A30DFA" w:rsidRPr="004B37D6" w:rsidRDefault="00F81E57" w:rsidP="00EF6C3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4B37D6">
        <w:rPr>
          <w:rFonts w:ascii="Calibri" w:eastAsia="Times New Roman" w:hAnsi="Calibri" w:cs="Calibri"/>
          <w:kern w:val="0"/>
          <w:sz w:val="22"/>
          <w:szCs w:val="22"/>
          <w:lang w:val="en-GB"/>
          <w14:ligatures w14:val="none"/>
        </w:rPr>
        <w:lastRenderedPageBreak/>
        <w:t>NIPH serves as the scientific coordinator of the JA PreventNCD</w:t>
      </w:r>
      <w:r w:rsidRPr="004B37D6">
        <w:rPr>
          <w:rStyle w:val="Fotnotereferanse"/>
          <w:rFonts w:ascii="Calibri" w:eastAsia="Times New Roman" w:hAnsi="Calibri" w:cs="Calibri"/>
          <w:kern w:val="0"/>
          <w:sz w:val="22"/>
          <w:szCs w:val="22"/>
          <w:lang w:val="en-GB"/>
          <w14:ligatures w14:val="none"/>
        </w:rPr>
        <w:footnoteReference w:id="11"/>
      </w:r>
      <w:r w:rsidR="00875B66" w:rsidRPr="004B37D6">
        <w:rPr>
          <w:rFonts w:ascii="Calibri" w:eastAsia="Times New Roman" w:hAnsi="Calibri" w:cs="Calibri"/>
          <w:kern w:val="0"/>
          <w:sz w:val="22"/>
          <w:szCs w:val="22"/>
          <w:vertAlign w:val="superscript"/>
          <w:lang w:val="en-GB"/>
          <w14:ligatures w14:val="none"/>
        </w:rPr>
        <w:t>,</w:t>
      </w:r>
      <w:r w:rsidR="00875B66" w:rsidRPr="004B37D6">
        <w:rPr>
          <w:rStyle w:val="Fotnotereferanse"/>
          <w:rFonts w:ascii="Calibri" w:eastAsia="Times New Roman" w:hAnsi="Calibri" w:cs="Calibri"/>
          <w:kern w:val="0"/>
          <w:sz w:val="22"/>
          <w:szCs w:val="22"/>
          <w:lang w:val="en-GB"/>
          <w14:ligatures w14:val="none"/>
        </w:rPr>
        <w:footnoteReference w:id="12"/>
      </w:r>
      <w:r w:rsidRPr="004B37D6">
        <w:rPr>
          <w:rFonts w:ascii="Calibri" w:eastAsia="Times New Roman" w:hAnsi="Calibri" w:cs="Calibri"/>
          <w:kern w:val="0"/>
          <w:sz w:val="22"/>
          <w:szCs w:val="22"/>
          <w:lang w:val="en-GB"/>
          <w14:ligatures w14:val="none"/>
        </w:rPr>
        <w:t xml:space="preserve"> and leads a technical work package</w:t>
      </w:r>
      <w:r w:rsidR="004F7931" w:rsidRPr="004B37D6">
        <w:rPr>
          <w:rStyle w:val="Fotnotereferanse"/>
          <w:rFonts w:ascii="Calibri" w:eastAsia="Times New Roman" w:hAnsi="Calibri" w:cs="Calibri"/>
          <w:kern w:val="0"/>
          <w:sz w:val="22"/>
          <w:szCs w:val="22"/>
          <w:lang w:val="en-GB"/>
          <w14:ligatures w14:val="none"/>
        </w:rPr>
        <w:footnoteReference w:id="13"/>
      </w:r>
      <w:r w:rsidRPr="004B37D6">
        <w:rPr>
          <w:rFonts w:ascii="Calibri" w:eastAsia="Times New Roman" w:hAnsi="Calibri" w:cs="Calibri"/>
          <w:kern w:val="0"/>
          <w:sz w:val="22"/>
          <w:szCs w:val="22"/>
          <w:lang w:val="en-GB"/>
          <w14:ligatures w14:val="none"/>
        </w:rPr>
        <w:t>. This initiative represents the largest European effort addressing risk factors for non-communicable diseases (NCDs) and cancer, aligned with the European Commission Healthier Together</w:t>
      </w:r>
      <w:r w:rsidR="00EF6C38" w:rsidRPr="004B37D6">
        <w:rPr>
          <w:rFonts w:ascii="Calibri" w:eastAsia="Times New Roman" w:hAnsi="Calibri" w:cs="Calibri"/>
          <w:kern w:val="0"/>
          <w:sz w:val="22"/>
          <w:szCs w:val="22"/>
          <w:lang w:val="en-GB"/>
          <w14:ligatures w14:val="none"/>
        </w:rPr>
        <w:t>-EU Non-Communicable Diseases Initiative</w:t>
      </w:r>
      <w:r w:rsidRPr="004B37D6">
        <w:rPr>
          <w:rFonts w:ascii="Calibri" w:eastAsia="Times New Roman" w:hAnsi="Calibri" w:cs="Calibri"/>
          <w:kern w:val="0"/>
          <w:sz w:val="22"/>
          <w:szCs w:val="22"/>
          <w:lang w:val="en-GB"/>
          <w14:ligatures w14:val="none"/>
        </w:rPr>
        <w:t>.</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JA PreventNCD includes over 25 countries and more than 100 governmental public health agencies</w:t>
      </w:r>
      <w:r w:rsidR="006D6AE5" w:rsidRPr="004B37D6">
        <w:rPr>
          <w:rFonts w:ascii="Calibri" w:eastAsia="Times New Roman" w:hAnsi="Calibri" w:cs="Calibri"/>
          <w:kern w:val="0"/>
          <w:sz w:val="22"/>
          <w:szCs w:val="22"/>
          <w:lang w:val="en-GB"/>
          <w14:ligatures w14:val="none"/>
        </w:rPr>
        <w:t xml:space="preserve"> which is un</w:t>
      </w:r>
      <w:r w:rsidR="009C4B67" w:rsidRPr="004B37D6">
        <w:rPr>
          <w:rFonts w:ascii="Calibri" w:eastAsia="Times New Roman" w:hAnsi="Calibri" w:cs="Calibri"/>
          <w:kern w:val="0"/>
          <w:sz w:val="22"/>
          <w:szCs w:val="22"/>
          <w:lang w:val="en-GB"/>
          <w14:ligatures w14:val="none"/>
        </w:rPr>
        <w:t xml:space="preserve">ique opportunity for </w:t>
      </w:r>
      <w:r w:rsidR="00AE3157" w:rsidRPr="004B37D6">
        <w:rPr>
          <w:rFonts w:ascii="Calibri" w:eastAsia="Times New Roman" w:hAnsi="Calibri" w:cs="Calibri"/>
          <w:kern w:val="0"/>
          <w:sz w:val="22"/>
          <w:szCs w:val="22"/>
          <w:lang w:val="en-GB"/>
          <w14:ligatures w14:val="none"/>
        </w:rPr>
        <w:t>dissemination</w:t>
      </w:r>
      <w:r w:rsidR="009C4B67" w:rsidRPr="004B37D6">
        <w:rPr>
          <w:rFonts w:ascii="Calibri" w:eastAsia="Times New Roman" w:hAnsi="Calibri" w:cs="Calibri"/>
          <w:kern w:val="0"/>
          <w:sz w:val="22"/>
          <w:szCs w:val="22"/>
          <w:lang w:val="en-GB"/>
          <w14:ligatures w14:val="none"/>
        </w:rPr>
        <w:t xml:space="preserve"> the Z-HEALTH project findings</w:t>
      </w:r>
      <w:r w:rsidRPr="004B37D6">
        <w:rPr>
          <w:rFonts w:ascii="Calibri" w:eastAsia="Times New Roman" w:hAnsi="Calibri" w:cs="Calibri"/>
          <w:kern w:val="0"/>
          <w:sz w:val="22"/>
          <w:szCs w:val="22"/>
          <w:lang w:val="en-GB"/>
          <w14:ligatures w14:val="none"/>
        </w:rPr>
        <w:t xml:space="preserve">. </w:t>
      </w:r>
      <w:r w:rsidR="00F75434" w:rsidRPr="004B37D6">
        <w:rPr>
          <w:rFonts w:ascii="Calibri" w:eastAsia="Times New Roman" w:hAnsi="Calibri" w:cs="Calibri"/>
          <w:kern w:val="0"/>
          <w:sz w:val="22"/>
          <w:szCs w:val="22"/>
          <w:lang w:val="en-GB"/>
          <w14:ligatures w14:val="none"/>
        </w:rPr>
        <w:t>NIJZ</w:t>
      </w:r>
      <w:r w:rsidRPr="004B37D6">
        <w:rPr>
          <w:rFonts w:ascii="Calibri" w:eastAsia="Times New Roman" w:hAnsi="Calibri" w:cs="Calibri"/>
          <w:kern w:val="0"/>
          <w:sz w:val="22"/>
          <w:szCs w:val="22"/>
          <w:lang w:val="en-GB"/>
          <w14:ligatures w14:val="none"/>
        </w:rPr>
        <w:t xml:space="preserve"> leads the sustainability work package, while </w:t>
      </w:r>
      <w:proofErr w:type="spellStart"/>
      <w:r w:rsidRPr="004B37D6">
        <w:rPr>
          <w:rFonts w:ascii="Calibri" w:eastAsia="Times New Roman" w:hAnsi="Calibri" w:cs="Calibri"/>
          <w:kern w:val="0"/>
          <w:sz w:val="22"/>
          <w:szCs w:val="22"/>
          <w:lang w:val="en-GB"/>
          <w14:ligatures w14:val="none"/>
        </w:rPr>
        <w:t>EuroHealthNet</w:t>
      </w:r>
      <w:proofErr w:type="spellEnd"/>
      <w:r w:rsidRPr="004B37D6">
        <w:rPr>
          <w:rFonts w:ascii="Calibri" w:eastAsia="Times New Roman" w:hAnsi="Calibri" w:cs="Calibri"/>
          <w:kern w:val="0"/>
          <w:sz w:val="22"/>
          <w:szCs w:val="22"/>
          <w:lang w:val="en-GB"/>
          <w14:ligatures w14:val="none"/>
        </w:rPr>
        <w:t xml:space="preserve"> contributes to dissemination, particularly towards policy decision-making. The project also features a dedicated Youth Advisory Group, highlighting its commitment to participatory approaches.</w:t>
      </w:r>
      <w:r w:rsidR="00F96185"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 xml:space="preserve">NIPH previously coordinated the CO-CREATE </w:t>
      </w:r>
      <w:r w:rsidR="00AE3157" w:rsidRPr="004B37D6">
        <w:rPr>
          <w:rFonts w:ascii="Calibri" w:eastAsia="Times New Roman" w:hAnsi="Calibri" w:cs="Calibri"/>
          <w:kern w:val="0"/>
          <w:sz w:val="22"/>
          <w:szCs w:val="22"/>
          <w:lang w:val="en-GB"/>
          <w14:ligatures w14:val="none"/>
        </w:rPr>
        <w:t>project</w:t>
      </w:r>
      <w:r w:rsidR="00B73A5D" w:rsidRPr="004B37D6">
        <w:rPr>
          <w:rStyle w:val="Fotnotereferanse"/>
          <w:rFonts w:ascii="Calibri" w:eastAsia="Times New Roman" w:hAnsi="Calibri" w:cs="Calibri"/>
          <w:kern w:val="0"/>
          <w:sz w:val="22"/>
          <w:szCs w:val="22"/>
          <w:lang w:val="en-GB"/>
          <w14:ligatures w14:val="none"/>
        </w:rPr>
        <w:footnoteReference w:id="14"/>
      </w:r>
      <w:r w:rsidR="00960931" w:rsidRPr="004B37D6">
        <w:rPr>
          <w:rFonts w:ascii="Calibri" w:eastAsia="Times New Roman" w:hAnsi="Calibri" w:cs="Calibri"/>
          <w:kern w:val="0"/>
          <w:sz w:val="22"/>
          <w:szCs w:val="22"/>
          <w:vertAlign w:val="superscript"/>
          <w:lang w:val="en-GB"/>
          <w14:ligatures w14:val="none"/>
        </w:rPr>
        <w:t>,</w:t>
      </w:r>
      <w:r w:rsidR="0059601D" w:rsidRPr="004B37D6">
        <w:rPr>
          <w:rStyle w:val="Fotnotereferanse"/>
          <w:rFonts w:ascii="Calibri" w:eastAsia="Times New Roman" w:hAnsi="Calibri" w:cs="Calibri"/>
          <w:kern w:val="0"/>
          <w:sz w:val="22"/>
          <w:szCs w:val="22"/>
          <w:lang w:val="en-GB"/>
          <w14:ligatures w14:val="none"/>
        </w:rPr>
        <w:footnoteReference w:id="15"/>
      </w:r>
      <w:r w:rsidRPr="004B37D6">
        <w:rPr>
          <w:rFonts w:ascii="Calibri" w:eastAsia="Times New Roman" w:hAnsi="Calibri" w:cs="Calibri"/>
          <w:kern w:val="0"/>
          <w:sz w:val="22"/>
          <w:szCs w:val="22"/>
          <w:lang w:val="en-GB"/>
          <w14:ligatures w14:val="none"/>
        </w:rPr>
        <w:t xml:space="preserve"> </w:t>
      </w:r>
      <w:r w:rsidR="00A30DFA" w:rsidRPr="004B37D6">
        <w:rPr>
          <w:rFonts w:ascii="Calibri" w:eastAsia="Times New Roman" w:hAnsi="Calibri" w:cs="Calibri"/>
          <w:kern w:val="0"/>
          <w:sz w:val="22"/>
          <w:szCs w:val="22"/>
          <w:lang w:val="en-GB"/>
          <w14:ligatures w14:val="none"/>
        </w:rPr>
        <w:t xml:space="preserve">(Horizon H2020 GA-ID:77421) </w:t>
      </w:r>
      <w:r w:rsidRPr="004B37D6">
        <w:rPr>
          <w:rFonts w:ascii="Calibri" w:eastAsia="Times New Roman" w:hAnsi="Calibri" w:cs="Calibri"/>
          <w:kern w:val="0"/>
          <w:sz w:val="22"/>
          <w:szCs w:val="22"/>
          <w:lang w:val="en-GB"/>
          <w14:ligatures w14:val="none"/>
        </w:rPr>
        <w:t>on youth-focused obesity prevention. The youth organization PRESS was a key partner. CO-CREATE developed innovative tools, including the Dialogue Forum Too</w:t>
      </w:r>
      <w:r w:rsidR="00A30DFA" w:rsidRPr="004B37D6">
        <w:rPr>
          <w:rFonts w:ascii="Calibri" w:eastAsia="Times New Roman" w:hAnsi="Calibri" w:cs="Calibri"/>
          <w:kern w:val="0"/>
          <w:sz w:val="22"/>
          <w:szCs w:val="22"/>
          <w:lang w:val="en-GB"/>
          <w14:ligatures w14:val="none"/>
        </w:rPr>
        <w:t>l</w:t>
      </w:r>
      <w:r w:rsidR="00A30DFA" w:rsidRPr="004B37D6">
        <w:rPr>
          <w:rStyle w:val="Fotnotereferanse"/>
          <w:rFonts w:ascii="Calibri" w:eastAsia="Times New Roman" w:hAnsi="Calibri" w:cs="Calibri"/>
          <w:kern w:val="0"/>
          <w:sz w:val="22"/>
          <w:szCs w:val="22"/>
          <w:lang w:val="en-GB"/>
          <w14:ligatures w14:val="none"/>
        </w:rPr>
        <w:footnoteReference w:id="16"/>
      </w:r>
      <w:r w:rsidRPr="004B37D6">
        <w:rPr>
          <w:rFonts w:ascii="Calibri" w:eastAsia="Times New Roman" w:hAnsi="Calibri" w:cs="Calibri"/>
          <w:kern w:val="0"/>
          <w:sz w:val="22"/>
          <w:szCs w:val="22"/>
          <w:lang w:val="en-GB"/>
          <w14:ligatures w14:val="none"/>
        </w:rPr>
        <w:t>, to support structured youth involvement in policymaking.</w:t>
      </w:r>
      <w:r w:rsidR="00A30DFA" w:rsidRPr="004B37D6">
        <w:rPr>
          <w:rFonts w:ascii="Calibri" w:eastAsia="Times New Roman" w:hAnsi="Calibri" w:cs="Calibri"/>
          <w:kern w:val="0"/>
          <w:sz w:val="22"/>
          <w:szCs w:val="22"/>
          <w:lang w:val="en-GB"/>
          <w14:ligatures w14:val="none"/>
        </w:rPr>
        <w:t xml:space="preserve"> </w:t>
      </w:r>
      <w:r w:rsidRPr="004B37D6">
        <w:rPr>
          <w:rFonts w:ascii="Calibri" w:eastAsia="Times New Roman" w:hAnsi="Calibri" w:cs="Calibri"/>
          <w:kern w:val="0"/>
          <w:sz w:val="22"/>
          <w:szCs w:val="22"/>
          <w:lang w:val="en-GB"/>
          <w14:ligatures w14:val="none"/>
        </w:rPr>
        <w:t>Both JA PreventNCD and CO-CREATE have involved close collaboration with the WHO Regional Office for Europe, strengthening the scientific and policy impact</w:t>
      </w:r>
      <w:r w:rsidR="008E235C">
        <w:rPr>
          <w:rFonts w:ascii="Calibri" w:eastAsia="Times New Roman" w:hAnsi="Calibri" w:cs="Calibri"/>
          <w:kern w:val="0"/>
          <w:sz w:val="22"/>
          <w:szCs w:val="22"/>
          <w:lang w:val="en-GB"/>
          <w14:ligatures w14:val="none"/>
        </w:rPr>
        <w:t xml:space="preserve"> of the project outputs</w:t>
      </w:r>
      <w:r w:rsidRPr="004B37D6">
        <w:rPr>
          <w:rFonts w:ascii="Calibri" w:eastAsia="Times New Roman" w:hAnsi="Calibri" w:cs="Calibri"/>
          <w:kern w:val="0"/>
          <w:sz w:val="22"/>
          <w:szCs w:val="22"/>
          <w:lang w:val="en-GB"/>
          <w14:ligatures w14:val="none"/>
        </w:rPr>
        <w:t>.</w:t>
      </w:r>
      <w:r w:rsidR="004C217F" w:rsidRPr="004B37D6">
        <w:rPr>
          <w:rFonts w:ascii="Calibri" w:eastAsia="Times New Roman" w:hAnsi="Calibri" w:cs="Calibri"/>
          <w:kern w:val="0"/>
          <w:sz w:val="22"/>
          <w:szCs w:val="22"/>
          <w:lang w:val="en-GB"/>
          <w14:ligatures w14:val="none"/>
        </w:rPr>
        <w:t xml:space="preserve"> </w:t>
      </w:r>
    </w:p>
    <w:p w14:paraId="4E523DE8" w14:textId="236783B1" w:rsidR="00E627F2" w:rsidRPr="00E627F2" w:rsidRDefault="00E627F2" w:rsidP="00E627F2">
      <w:pPr>
        <w:spacing w:after="0"/>
        <w:rPr>
          <w:sz w:val="10"/>
          <w:szCs w:val="10"/>
        </w:rPr>
      </w:pPr>
    </w:p>
    <w:p w14:paraId="61892B99" w14:textId="1ED8C98E" w:rsidR="000A6895"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p w14:paraId="4F1422EC"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7879C663"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4CD8AD4C"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p w14:paraId="6FBE69D2" w14:textId="77777777" w:rsidR="007C57FB" w:rsidRDefault="007C57FB"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p>
    <w:sectPr w:rsidR="007C57FB"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3-17T10:05:00Z" w:initials="LM">
    <w:p w14:paraId="4C33DBEA" w14:textId="25284815" w:rsidR="00B1616F" w:rsidRDefault="00B1616F" w:rsidP="00B1616F">
      <w:r>
        <w:rPr>
          <w:rStyle w:val="Merknadsreferanse"/>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1" w:author="Arnfinn Helleve" w:date="2026-03-29T14:11:00Z" w:initials="AH">
    <w:p w14:paraId="0EF75742" w14:textId="77777777" w:rsidR="00F313C4" w:rsidRDefault="00F313C4" w:rsidP="00F313C4">
      <w:pPr>
        <w:pStyle w:val="Merknadstekst"/>
      </w:pPr>
      <w:r>
        <w:rPr>
          <w:rStyle w:val="Merknadsreferanse"/>
        </w:rPr>
        <w:annotationRef/>
      </w:r>
      <w:r>
        <w:t>Tips for writing section 1.1.2</w:t>
      </w:r>
    </w:p>
    <w:p w14:paraId="41DB41BD" w14:textId="77777777" w:rsidR="00F313C4" w:rsidRDefault="00F313C4" w:rsidP="00F313C4">
      <w:pPr>
        <w:pStyle w:val="Merknadstekst"/>
      </w:pPr>
      <w:r>
        <w:t>About State of the art</w:t>
      </w:r>
      <w:r>
        <w:tab/>
        <w:t>About Ambition</w:t>
      </w:r>
    </w:p>
    <w:p w14:paraId="1375C36F" w14:textId="77777777" w:rsidR="00F313C4" w:rsidRDefault="00F313C4" w:rsidP="00F313C4">
      <w:pPr>
        <w:pStyle w:val="Merknadstekst"/>
      </w:pPr>
      <w:r>
        <w:t></w:t>
      </w:r>
      <w:r>
        <w:tab/>
        <w:t xml:space="preserve">Outline the current level of knowledge in the research area and highlight how the project will progress the research ‘beyond the current state-of-the-art’.  </w:t>
      </w:r>
    </w:p>
    <w:p w14:paraId="27D72FA6" w14:textId="77777777" w:rsidR="00F313C4" w:rsidRDefault="00F313C4" w:rsidP="00F313C4">
      <w:pPr>
        <w:pStyle w:val="Merknadstekst"/>
      </w:pPr>
      <w:r>
        <w:t></w:t>
      </w:r>
      <w:r>
        <w:tab/>
        <w:t xml:space="preserve">Show that you master the state-of-the-art in your area: support your state-of-the-art review through key international bibliographic references – also cite the consortium (but not only!) to show that you are the experts in the field. </w:t>
      </w:r>
    </w:p>
    <w:p w14:paraId="054BC13C" w14:textId="77777777" w:rsidR="00F313C4" w:rsidRDefault="00F313C4" w:rsidP="00F313C4">
      <w:pPr>
        <w:pStyle w:val="Merknadstekst"/>
      </w:pPr>
      <w:r>
        <w:t></w:t>
      </w:r>
      <w:r>
        <w:tab/>
        <w:t xml:space="preserve">Aim to be effective rather than exhaustive in terms of citations. Remember that the state of the art section must be very closely focused to answering the question ‘why is this research important’ and ‘how will your research ideas solve the problem?’. </w:t>
      </w:r>
    </w:p>
    <w:p w14:paraId="4640CAAD" w14:textId="77777777" w:rsidR="00F313C4" w:rsidRDefault="00F313C4" w:rsidP="00F313C4">
      <w:pPr>
        <w:pStyle w:val="Merknadstekst"/>
      </w:pPr>
      <w:r>
        <w:t></w:t>
      </w:r>
      <w:r>
        <w:tab/>
        <w:t xml:space="preserve">Therefore, when describing the State of the Art, focus on expressing the novelty that your project will bring. Describe the current situation, including innovative technologies and models, and emphasise your project’s steps to advance current knowledge and address real-world problems. </w:t>
      </w:r>
    </w:p>
    <w:p w14:paraId="3EAC2B4F" w14:textId="77777777" w:rsidR="00F313C4" w:rsidRDefault="00F313C4" w:rsidP="00F313C4">
      <w:pPr>
        <w:pStyle w:val="Merknadstekst"/>
      </w:pPr>
      <w:r>
        <w:t></w:t>
      </w:r>
      <w:r>
        <w:tab/>
        <w:t xml:space="preserve">Do not come up with a long list. Emphasize where the project really will make the difference. </w:t>
      </w:r>
    </w:p>
    <w:p w14:paraId="6E065515" w14:textId="77777777" w:rsidR="00F313C4" w:rsidRDefault="00F313C4" w:rsidP="00F313C4">
      <w:pPr>
        <w:pStyle w:val="Merknadstekst"/>
      </w:pPr>
      <w:r>
        <w:t></w:t>
      </w:r>
      <w:r>
        <w:tab/>
        <w:t>You could with a bold /text-box statement of how the project is progressing the area beyond the current state-of-the art</w:t>
      </w:r>
    </w:p>
    <w:p w14:paraId="03FAE93D" w14:textId="77777777" w:rsidR="00F313C4" w:rsidRDefault="00F313C4" w:rsidP="00F313C4">
      <w:pPr>
        <w:pStyle w:val="Merknadstekst"/>
      </w:pPr>
      <w:r>
        <w:t></w:t>
      </w:r>
      <w:r>
        <w:tab/>
        <w:t xml:space="preserve">Use up-to-date references! </w:t>
      </w:r>
      <w:r>
        <w:tab/>
      </w:r>
      <w:r>
        <w:t></w:t>
      </w:r>
      <w:r>
        <w:tab/>
        <w:t xml:space="preserve">When writing about the ambition of your project, you should focus on conveying your proposal's unique value and specialism, emphasizing the new importance that your results or approaches will bring. Emphasise where your project will really make a difference. </w:t>
      </w:r>
    </w:p>
    <w:p w14:paraId="4BD27E22" w14:textId="77777777" w:rsidR="00F313C4" w:rsidRDefault="00F313C4" w:rsidP="00F313C4">
      <w:pPr>
        <w:pStyle w:val="Merknadstekst"/>
      </w:pPr>
      <w:r>
        <w:t></w:t>
      </w:r>
      <w:r>
        <w:tab/>
        <w:t>Clearly explain the innovative potential of your project in terms of breakthroughs, new products, services, business, organisational models, or anything else in this context . You can also mention the innovative use of equipment, data used, technique, method, approach to investigate a piece of research in a novel way,</w:t>
      </w:r>
    </w:p>
    <w:p w14:paraId="653DC84C" w14:textId="77777777" w:rsidR="00F313C4" w:rsidRDefault="00F313C4" w:rsidP="00F313C4">
      <w:pPr>
        <w:pStyle w:val="Merknadstekst"/>
      </w:pPr>
      <w:r>
        <w:t xml:space="preserve">Questions to consider when formulating the section: </w:t>
      </w:r>
    </w:p>
    <w:p w14:paraId="0E3A05AC" w14:textId="77777777" w:rsidR="00F313C4" w:rsidRDefault="00F313C4" w:rsidP="00F313C4">
      <w:pPr>
        <w:pStyle w:val="Merknadstekst"/>
      </w:pPr>
      <w:r>
        <w:t></w:t>
      </w:r>
      <w:r>
        <w:tab/>
        <w:t xml:space="preserve">How is your project's solution compared to the current state of science and/or technology, existing solutions, products/services, or business models? </w:t>
      </w:r>
    </w:p>
    <w:p w14:paraId="62F846D6" w14:textId="77777777" w:rsidR="00F313C4" w:rsidRDefault="00F313C4" w:rsidP="00F313C4">
      <w:pPr>
        <w:pStyle w:val="Merknadstekst"/>
      </w:pPr>
      <w:r>
        <w:t></w:t>
      </w:r>
      <w:r>
        <w:tab/>
        <w:t xml:space="preserve">What is the added value or advantage of your solution? </w:t>
      </w:r>
    </w:p>
    <w:p w14:paraId="69C27826" w14:textId="77777777" w:rsidR="00F313C4" w:rsidRDefault="00F313C4" w:rsidP="00F313C4">
      <w:pPr>
        <w:pStyle w:val="Merknadstekst"/>
      </w:pPr>
      <w:r>
        <w:t></w:t>
      </w:r>
      <w:r>
        <w:tab/>
        <w:t xml:space="preserve">Why will your solution be used? Why is your target group explicitly waiting for this solution? </w:t>
      </w:r>
    </w:p>
    <w:p w14:paraId="64884609" w14:textId="77777777" w:rsidR="00F313C4" w:rsidRDefault="00F313C4" w:rsidP="00F313C4">
      <w:pPr>
        <w:pStyle w:val="Merknadstekst"/>
      </w:pPr>
      <w:r>
        <w:t></w:t>
      </w:r>
      <w:r>
        <w:tab/>
        <w:t xml:space="preserve">Where will current knowledge/methodology be particularly enhanced? </w:t>
      </w:r>
    </w:p>
    <w:p w14:paraId="5AF3A740" w14:textId="77777777" w:rsidR="00F313C4" w:rsidRDefault="00F313C4" w:rsidP="00F313C4">
      <w:pPr>
        <w:pStyle w:val="Merknadstekst"/>
      </w:pPr>
      <w:r>
        <w:t></w:t>
      </w:r>
      <w:r>
        <w:tab/>
        <w:t xml:space="preserve">What is particularly challenging: technological or societal challenges? </w:t>
      </w:r>
    </w:p>
    <w:p w14:paraId="5064363D" w14:textId="77777777" w:rsidR="00F313C4" w:rsidRDefault="00F313C4" w:rsidP="00F313C4">
      <w:pPr>
        <w:pStyle w:val="Merknadstekst"/>
      </w:pPr>
      <w:r>
        <w:t></w:t>
      </w:r>
      <w:r>
        <w:tab/>
        <w:t xml:space="preserve">Are unique resources being used? </w:t>
      </w:r>
    </w:p>
    <w:p w14:paraId="2F81A2E5" w14:textId="77777777" w:rsidR="00F313C4" w:rsidRDefault="00F313C4" w:rsidP="00F313C4">
      <w:pPr>
        <w:pStyle w:val="Merknadstekst"/>
      </w:pPr>
      <w:r>
        <w:t></w:t>
      </w:r>
      <w:r>
        <w:tab/>
        <w:t xml:space="preserve">Where has something like this already been implemented? What is this project doing differently and what is unique about this approach? </w:t>
      </w:r>
    </w:p>
    <w:p w14:paraId="1B52F1C7" w14:textId="77777777" w:rsidR="00F313C4" w:rsidRDefault="00F313C4" w:rsidP="00F313C4">
      <w:pPr>
        <w:pStyle w:val="Merknadstekst"/>
      </w:pPr>
      <w:r>
        <w:t></w:t>
      </w:r>
      <w:r>
        <w:tab/>
        <w:t xml:space="preserve">What does the market look like, including the need for a new scientific solution for the scientific community? </w:t>
      </w:r>
    </w:p>
    <w:p w14:paraId="1E0AEDF4" w14:textId="77777777" w:rsidR="00F313C4" w:rsidRDefault="00F313C4" w:rsidP="00F313C4">
      <w:pPr>
        <w:pStyle w:val="Merknadstekst"/>
      </w:pPr>
      <w:r>
        <w:t></w:t>
      </w:r>
      <w:r>
        <w:tab/>
        <w:t xml:space="preserve">Who else can benefit from your solution, such as policy makers, certain social groups, research, or standards and regulatory authorities? </w:t>
      </w:r>
    </w:p>
  </w:comment>
  <w:comment w:id="3" w:author="LOREDANA MARMORA" w:date="2026-03-17T10:14:00Z" w:initials="LM">
    <w:p w14:paraId="03D93A38" w14:textId="49021A41" w:rsidR="000F769F" w:rsidRDefault="000F769F" w:rsidP="000F769F">
      <w:r>
        <w:rPr>
          <w:rStyle w:val="Merknadsreferanse"/>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4" w:author="Arnfinn Helleve" w:date="2026-03-29T14:12:00Z" w:initials="AH">
    <w:p w14:paraId="017FA1CF" w14:textId="77777777" w:rsidR="001A380F" w:rsidRDefault="001A380F" w:rsidP="001A380F">
      <w:pPr>
        <w:pStyle w:val="Merknadstekst"/>
      </w:pPr>
      <w:r>
        <w:rPr>
          <w:rStyle w:val="Merknadsreferanse"/>
        </w:rPr>
        <w:annotationRef/>
      </w:r>
      <w:r>
        <w:t>Tips for writing section 1.2.1</w:t>
      </w:r>
    </w:p>
    <w:p w14:paraId="186F415E" w14:textId="77777777" w:rsidR="001A380F" w:rsidRDefault="001A380F" w:rsidP="001A380F">
      <w:pPr>
        <w:pStyle w:val="Merknadstekst"/>
      </w:pPr>
      <w:r>
        <w:t xml:space="preserve">This section should be presented as a narrative. The detailed tasks and work packages are described below under ‘Implementation’. </w:t>
      </w:r>
    </w:p>
    <w:p w14:paraId="7F2B6B58" w14:textId="77777777" w:rsidR="001A380F" w:rsidRDefault="001A380F" w:rsidP="001A380F">
      <w:pPr>
        <w:pStyle w:val="Merknadstekst"/>
      </w:pPr>
      <w:r>
        <w:t></w:t>
      </w:r>
      <w:r>
        <w:tab/>
        <w:t>The methodology refers to the approach used in a project to achieve specific objectives and overall goals. Here you have to explain the concepts and fundamental assumptions, the models used and why they were chosen to reach the stated goals</w:t>
      </w:r>
    </w:p>
    <w:p w14:paraId="3FC1FD27" w14:textId="77777777" w:rsidR="001A380F" w:rsidRDefault="001A380F" w:rsidP="001A380F">
      <w:pPr>
        <w:pStyle w:val="Merknadstekst"/>
      </w:pPr>
      <w:r>
        <w:t></w:t>
      </w:r>
      <w:r>
        <w:tab/>
        <w:t>Be specific about the methods, techniques, approaches, and theories used. You need to provide enough information so that the evaluator:</w:t>
      </w:r>
    </w:p>
    <w:p w14:paraId="10198BE0" w14:textId="77777777" w:rsidR="001A380F" w:rsidRDefault="001A380F" w:rsidP="001A380F">
      <w:pPr>
        <w:pStyle w:val="Merknadstekst"/>
      </w:pPr>
      <w:r>
        <w:t>•</w:t>
      </w:r>
      <w:r>
        <w:tab/>
        <w:t xml:space="preserve">can understand how you will tackle the problem </w:t>
      </w:r>
    </w:p>
    <w:p w14:paraId="3F17C786" w14:textId="77777777" w:rsidR="001A380F" w:rsidRDefault="001A380F" w:rsidP="001A380F">
      <w:pPr>
        <w:pStyle w:val="Merknadstekst"/>
      </w:pPr>
      <w:r>
        <w:t>•</w:t>
      </w:r>
      <w:r>
        <w:tab/>
        <w:t xml:space="preserve">can clearly see what is novel/interesting about your particular approach (analysis, concept, methods, techniques, etc.). </w:t>
      </w:r>
    </w:p>
    <w:p w14:paraId="0E4E2D89" w14:textId="77777777" w:rsidR="001A380F" w:rsidRDefault="001A380F" w:rsidP="001A380F">
      <w:pPr>
        <w:pStyle w:val="Merknadstekst"/>
      </w:pPr>
      <w:r>
        <w:t>•</w:t>
      </w:r>
      <w:r>
        <w:tab/>
        <w:t xml:space="preserve">can clearly see that your research project is feasible. </w:t>
      </w:r>
    </w:p>
    <w:p w14:paraId="683589AE" w14:textId="77777777" w:rsidR="001A380F" w:rsidRDefault="001A380F" w:rsidP="001A380F">
      <w:pPr>
        <w:pStyle w:val="Merknadstekst"/>
      </w:pPr>
      <w:r>
        <w:t></w:t>
      </w:r>
      <w:r>
        <w:tab/>
        <w:t>When describing the reasons why you have chosen a certain methodology/technique/approach, highlight  why this choice is the best to solve the problem you are addressing</w:t>
      </w:r>
    </w:p>
    <w:p w14:paraId="68EFB8CB" w14:textId="77777777" w:rsidR="001A380F" w:rsidRDefault="001A380F" w:rsidP="001A380F">
      <w:pPr>
        <w:pStyle w:val="Merknadstekst"/>
      </w:pPr>
      <w:r>
        <w:t></w:t>
      </w:r>
      <w:r>
        <w:tab/>
        <w:t>Quote the bibliographical references (or other elements, such as patents), on which your methodology is based.</w:t>
      </w:r>
    </w:p>
    <w:p w14:paraId="4F9122C1" w14:textId="77777777" w:rsidR="001A380F" w:rsidRDefault="001A380F" w:rsidP="001A380F">
      <w:pPr>
        <w:pStyle w:val="Merknadstekst"/>
      </w:pPr>
      <w:r>
        <w:t></w:t>
      </w:r>
      <w:r>
        <w:tab/>
        <w:t xml:space="preserve">Especially in case of highly innovative methodologies, mention from which preliminary data the research will start (it can help to better understand the validity of the methodology as a whole and reassure the evaluators about the feasibility of the project). </w:t>
      </w:r>
    </w:p>
    <w:p w14:paraId="0DEF2C3E" w14:textId="77777777" w:rsidR="001A380F" w:rsidRDefault="001A380F" w:rsidP="001A380F">
      <w:pPr>
        <w:pStyle w:val="Merknadstekst"/>
      </w:pPr>
      <w:r>
        <w:t></w:t>
      </w:r>
      <w:r>
        <w:tab/>
        <w:t>Do not barely list the scientific methods/theories/techniques that you will use. Please note that this section is  not a ‘materials and methods’ paragraph, as found in a scientific article. Elaborate this part using a logical order. Preferably, we suggest you use a chronological approach when describing what and how you will do in order to reach the set research objectives.</w:t>
      </w:r>
    </w:p>
    <w:p w14:paraId="2B81101B" w14:textId="77777777" w:rsidR="001A380F" w:rsidRDefault="001A380F" w:rsidP="001A380F">
      <w:pPr>
        <w:pStyle w:val="Merknadstekst"/>
      </w:pPr>
      <w:r>
        <w:t></w:t>
      </w:r>
      <w:r>
        <w:tab/>
        <w:t xml:space="preserve">Insert precise references to the  ROs/WPs and to the planned Milestones. </w:t>
      </w:r>
    </w:p>
    <w:p w14:paraId="11539D86" w14:textId="77777777" w:rsidR="001A380F" w:rsidRDefault="001A380F" w:rsidP="001A380F">
      <w:pPr>
        <w:pStyle w:val="Merknadstekst"/>
      </w:pPr>
      <w:r>
        <w:t></w:t>
      </w:r>
      <w:r>
        <w:tab/>
        <w:t xml:space="preserve">Specify the different stages to be accomplished for performing the planned research (e.g. research, demonstration activities, piloting) and their timing. Particular attention must be paid to describe testing/experimentation/validation strategies of the results obtained. </w:t>
      </w:r>
    </w:p>
    <w:p w14:paraId="4FCEDC9E" w14:textId="77777777" w:rsidR="001A380F" w:rsidRDefault="001A380F" w:rsidP="001A380F">
      <w:pPr>
        <w:pStyle w:val="Merknadstekst"/>
      </w:pPr>
      <w:r>
        <w:t></w:t>
      </w:r>
      <w:r>
        <w:tab/>
        <w:t>Refer to any important challenges you may have identified in the chosen methodology and how you intend to overcome them during the project implementation. (this part should be consistent with what indicated in table 3.1e (under implementation).</w:t>
      </w:r>
    </w:p>
    <w:p w14:paraId="4D024FEC" w14:textId="77777777" w:rsidR="001A380F" w:rsidRDefault="001A380F" w:rsidP="001A380F">
      <w:pPr>
        <w:pStyle w:val="Merknadstekst"/>
      </w:pPr>
      <w:r>
        <w:t></w:t>
      </w:r>
      <w:r>
        <w:tab/>
        <w:t xml:space="preserve">Lastly, with regards to the concepts, models and assumption it is important to state what the solution is of the project. Does the project provide a solution for a particular end user (the consumer, patient, professional, etc.)? For certain policies? For different disciplines? Who is asking for the outcomes and/or who is going to benefit from your solution(s)? Who is the target group? </w:t>
      </w:r>
    </w:p>
  </w:comment>
  <w:comment w:id="5" w:author="LOREDANA MARMORA" w:date="2026-03-17T11:04:00Z" w:initials="LM">
    <w:p w14:paraId="571A6D7A" w14:textId="6C8E968D" w:rsidR="00E627F2" w:rsidRDefault="00E627F2" w:rsidP="00E627F2">
      <w:r>
        <w:rPr>
          <w:rStyle w:val="Merknadsreferanse"/>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 w:id="6" w:author="Arnfinn Helleve" w:date="2026-03-29T14:10:00Z" w:initials="AH">
    <w:p w14:paraId="146AFDB3" w14:textId="77777777" w:rsidR="00F313C4" w:rsidRDefault="00F313C4" w:rsidP="00F313C4">
      <w:pPr>
        <w:pStyle w:val="Merknadstekst"/>
      </w:pPr>
      <w:r>
        <w:rPr>
          <w:rStyle w:val="Merknadsreferanse"/>
        </w:rPr>
        <w:annotationRef/>
      </w:r>
      <w:r>
        <w:t>Tips for writing section 1.2.2</w:t>
      </w:r>
    </w:p>
    <w:p w14:paraId="679381DC" w14:textId="77777777" w:rsidR="00F313C4" w:rsidRDefault="00F313C4" w:rsidP="00F313C4">
      <w:pPr>
        <w:pStyle w:val="Merknadstekst"/>
      </w:pPr>
      <w:r>
        <w:t></w:t>
      </w:r>
      <w:r>
        <w:tab/>
        <w:t>Provide an overview of national  and international projects related to your proposed project.</w:t>
      </w:r>
    </w:p>
    <w:p w14:paraId="20E9B9DA" w14:textId="77777777" w:rsidR="00F313C4" w:rsidRDefault="00F313C4" w:rsidP="00F313C4">
      <w:pPr>
        <w:pStyle w:val="Merknadstekst"/>
      </w:pPr>
      <w:r>
        <w:t></w:t>
      </w:r>
      <w:r>
        <w:tab/>
        <w:t xml:space="preserve">Don’t only show that you are aware of these initiatives, but also explain how your idea builds on the results of these projects, and how to collaborate with them if they are still running. </w:t>
      </w:r>
    </w:p>
    <w:p w14:paraId="418BAD5F" w14:textId="77777777" w:rsidR="00F313C4" w:rsidRDefault="00F313C4" w:rsidP="00F313C4">
      <w:pPr>
        <w:pStyle w:val="Merknadstekst"/>
      </w:pPr>
      <w:r>
        <w:t></w:t>
      </w:r>
      <w:r>
        <w:tab/>
        <w:t>In addition, indicate which partners are or have been involved in these projects. This will show that you will be able to efficiently build on the knowledge from these projects.</w:t>
      </w:r>
    </w:p>
    <w:p w14:paraId="2686F2CD" w14:textId="77777777" w:rsidR="00F313C4" w:rsidRDefault="00F313C4" w:rsidP="00F313C4">
      <w:pPr>
        <w:pStyle w:val="Merknadstekst"/>
      </w:pPr>
      <w:r>
        <w:t></w:t>
      </w:r>
      <w:r>
        <w:tab/>
        <w:t>Refer to your ambition section where you have stated how this proposed project goes a substantial step further in what is already known/done.</w:t>
      </w:r>
    </w:p>
    <w:p w14:paraId="221D5B6C" w14:textId="77777777" w:rsidR="00F313C4" w:rsidRDefault="00F313C4" w:rsidP="00F313C4">
      <w:pPr>
        <w:pStyle w:val="Merknadstekst"/>
      </w:pPr>
      <w:r>
        <w:t xml:space="preserve">Questions to consider: </w:t>
      </w:r>
    </w:p>
    <w:p w14:paraId="5B48F382" w14:textId="77777777" w:rsidR="00F313C4" w:rsidRDefault="00F313C4" w:rsidP="00F313C4">
      <w:pPr>
        <w:pStyle w:val="Merknadstekst"/>
      </w:pPr>
      <w:r>
        <w:t></w:t>
      </w:r>
      <w:r>
        <w:tab/>
        <w:t xml:space="preserve">Are research activities or results from other projects included in or taken further in this project? </w:t>
      </w:r>
    </w:p>
    <w:p w14:paraId="18B2A1B0" w14:textId="77777777" w:rsidR="00F313C4" w:rsidRDefault="00F313C4" w:rsidP="00F313C4">
      <w:pPr>
        <w:pStyle w:val="Merknadstekst"/>
      </w:pPr>
      <w:r>
        <w:t></w:t>
      </w:r>
      <w:r>
        <w:tab/>
        <w:t xml:space="preserve">Which recent and ongoing activities, such as those from Horizon  Europe and other research programs, are thematically related to your project and pursue similar goals or apply comparable methods? </w:t>
      </w:r>
    </w:p>
    <w:p w14:paraId="17F1A027" w14:textId="77777777" w:rsidR="00F313C4" w:rsidRDefault="00F313C4" w:rsidP="00F313C4">
      <w:pPr>
        <w:pStyle w:val="Merknadstekst"/>
      </w:pPr>
      <w:r>
        <w:t></w:t>
      </w:r>
      <w:r>
        <w:tab/>
        <w:t xml:space="preserve">What existing national, EU-wide, and international projects exist from other institutions? </w:t>
      </w:r>
    </w:p>
    <w:p w14:paraId="2B99A906" w14:textId="77777777" w:rsidR="00F313C4" w:rsidRDefault="00F313C4" w:rsidP="00F313C4">
      <w:pPr>
        <w:pStyle w:val="Merknadstekst"/>
      </w:pPr>
      <w:r>
        <w:t></w:t>
      </w:r>
      <w:r>
        <w:tab/>
        <w:t xml:space="preserve">Do you have contacts with these initiatives or projects, such as through partners in the project? </w:t>
      </w:r>
    </w:p>
    <w:p w14:paraId="40F60F24" w14:textId="77777777" w:rsidR="00F313C4" w:rsidRDefault="00F313C4" w:rsidP="00F313C4">
      <w:pPr>
        <w:pStyle w:val="Merknadstekst"/>
      </w:pPr>
      <w:r>
        <w:t></w:t>
      </w:r>
      <w:r>
        <w:tab/>
        <w:t xml:space="preserve">Which findings, experiences, and results from these projects do you want to take up in your project? Are there synergies? </w:t>
      </w:r>
    </w:p>
    <w:p w14:paraId="3AAFA841" w14:textId="77777777" w:rsidR="00F313C4" w:rsidRDefault="00F313C4" w:rsidP="00F313C4">
      <w:pPr>
        <w:pStyle w:val="Merknadstekst"/>
      </w:pPr>
      <w:r>
        <w:t></w:t>
      </w:r>
      <w:r>
        <w:tab/>
        <w:t xml:space="preserve">Can you use the findings or data generated from these projects, and how do you access them? </w:t>
      </w:r>
    </w:p>
    <w:p w14:paraId="35D01B3A" w14:textId="77777777" w:rsidR="00F313C4" w:rsidRDefault="00F313C4" w:rsidP="00F313C4">
      <w:pPr>
        <w:pStyle w:val="Merknadstekst"/>
      </w:pPr>
      <w:r>
        <w:t></w:t>
      </w:r>
      <w:r>
        <w:tab/>
        <w:t xml:space="preserve">How do you ensure exchanges with these initiatives and/or projects are made?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BB66" w15:done="0"/>
  <w15:commentEx w15:paraId="1E0AEDF4" w15:paraIdParent="7A00BB66" w15:done="0"/>
  <w15:commentEx w15:paraId="44EA4D63" w15:done="0"/>
  <w15:commentEx w15:paraId="4D024FEC" w15:paraIdParent="44EA4D63" w15:done="0"/>
  <w15:commentEx w15:paraId="52E707D8" w15:done="0"/>
  <w15:commentEx w15:paraId="35D01B3A" w15:paraIdParent="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0D2B0" w16cex:dateUtc="2026-03-17T09:05:00Z"/>
  <w16cex:commentExtensible w16cex:durableId="0D17BDAA" w16cex:dateUtc="2026-03-29T12:11:00Z"/>
  <w16cex:commentExtensible w16cex:durableId="4C4C2FF7" w16cex:dateUtc="2026-03-17T09:14:00Z"/>
  <w16cex:commentExtensible w16cex:durableId="60AF1514" w16cex:dateUtc="2026-03-29T12:12:00Z"/>
  <w16cex:commentExtensible w16cex:durableId="5721840A" w16cex:dateUtc="2026-03-17T10:04:00Z"/>
  <w16cex:commentExtensible w16cex:durableId="3337FD06" w16cex:dateUtc="2026-03-2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BB66" w16cid:durableId="0DC0D2B0"/>
  <w16cid:commentId w16cid:paraId="1E0AEDF4" w16cid:durableId="0D17BDAA"/>
  <w16cid:commentId w16cid:paraId="44EA4D63" w16cid:durableId="4C4C2FF7"/>
  <w16cid:commentId w16cid:paraId="4D024FEC" w16cid:durableId="60AF1514"/>
  <w16cid:commentId w16cid:paraId="52E707D8" w16cid:durableId="5721840A"/>
  <w16cid:commentId w16cid:paraId="35D01B3A" w16cid:durableId="3337F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9554" w14:textId="77777777" w:rsidR="003247F1" w:rsidRDefault="003247F1" w:rsidP="00BB776B">
      <w:pPr>
        <w:spacing w:after="0" w:line="240" w:lineRule="auto"/>
      </w:pPr>
      <w:r>
        <w:separator/>
      </w:r>
    </w:p>
  </w:endnote>
  <w:endnote w:type="continuationSeparator" w:id="0">
    <w:p w14:paraId="237E23EA" w14:textId="77777777" w:rsidR="003247F1" w:rsidRDefault="003247F1" w:rsidP="00BB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BFCC" w14:textId="77777777" w:rsidR="003247F1" w:rsidRDefault="003247F1" w:rsidP="00BB776B">
      <w:pPr>
        <w:spacing w:after="0" w:line="240" w:lineRule="auto"/>
      </w:pPr>
      <w:r>
        <w:separator/>
      </w:r>
    </w:p>
  </w:footnote>
  <w:footnote w:type="continuationSeparator" w:id="0">
    <w:p w14:paraId="623A2AB9" w14:textId="77777777" w:rsidR="003247F1" w:rsidRDefault="003247F1" w:rsidP="00BB776B">
      <w:pPr>
        <w:spacing w:after="0" w:line="240" w:lineRule="auto"/>
      </w:pPr>
      <w:r>
        <w:continuationSeparator/>
      </w:r>
    </w:p>
  </w:footnote>
  <w:footnote w:id="1">
    <w:p w14:paraId="6FF041D8" w14:textId="77777777" w:rsidR="007E1A93" w:rsidRPr="008C397E" w:rsidRDefault="007E1A93" w:rsidP="007E1A93">
      <w:pPr>
        <w:pStyle w:val="Fotnotetekst"/>
        <w:rPr>
          <w:lang w:val="es-ES"/>
        </w:rPr>
      </w:pPr>
      <w:r>
        <w:rPr>
          <w:rStyle w:val="Fotnotereferanse"/>
        </w:rPr>
        <w:footnoteRef/>
      </w:r>
      <w:r>
        <w:t xml:space="preserve"> </w:t>
      </w:r>
      <w:proofErr w:type="spellStart"/>
      <w:r w:rsidRPr="009F7B19">
        <w:t>Mastorci</w:t>
      </w:r>
      <w:proofErr w:type="spellEnd"/>
      <w:r w:rsidRPr="009F7B19">
        <w:t xml:space="preserve">, F.; Lazzeri, M.F.L.; Vassalle, C.; Pingitore, A. The </w:t>
      </w:r>
      <w:proofErr w:type="spellStart"/>
      <w:r w:rsidRPr="009F7B19">
        <w:t>Transition</w:t>
      </w:r>
      <w:proofErr w:type="spellEnd"/>
      <w:r w:rsidRPr="009F7B19">
        <w:t xml:space="preserve"> from </w:t>
      </w:r>
      <w:proofErr w:type="spellStart"/>
      <w:r w:rsidRPr="009F7B19">
        <w:t>Childhood</w:t>
      </w:r>
      <w:proofErr w:type="spellEnd"/>
      <w:r w:rsidRPr="009F7B19">
        <w:t xml:space="preserve"> to </w:t>
      </w:r>
      <w:proofErr w:type="spellStart"/>
      <w:r w:rsidRPr="009F7B19">
        <w:t>Adolescence</w:t>
      </w:r>
      <w:proofErr w:type="spellEnd"/>
      <w:r w:rsidRPr="009F7B19">
        <w:t xml:space="preserve">: </w:t>
      </w:r>
      <w:proofErr w:type="spellStart"/>
      <w:r w:rsidRPr="009F7B19">
        <w:t>Between</w:t>
      </w:r>
      <w:proofErr w:type="spellEnd"/>
      <w:r w:rsidRPr="009F7B19">
        <w:t xml:space="preserve"> Health and </w:t>
      </w:r>
      <w:proofErr w:type="spellStart"/>
      <w:r w:rsidRPr="009F7B19">
        <w:t>Vulnerability</w:t>
      </w:r>
      <w:proofErr w:type="spellEnd"/>
      <w:r w:rsidRPr="009F7B19">
        <w:t>. Children 2024, 11, 989. https://doi.org/10.3390/children11080989</w:t>
      </w:r>
    </w:p>
  </w:footnote>
  <w:footnote w:id="2">
    <w:p w14:paraId="6E04EB3A" w14:textId="77777777" w:rsidR="002A4235" w:rsidRPr="00D9420B" w:rsidRDefault="002A4235" w:rsidP="002A4235">
      <w:pPr>
        <w:pStyle w:val="Fotnotetekst"/>
      </w:pPr>
      <w:r>
        <w:rPr>
          <w:rStyle w:val="Fotnotereferanse"/>
        </w:rPr>
        <w:footnoteRef/>
      </w:r>
      <w:r>
        <w:t xml:space="preserve"> </w:t>
      </w:r>
      <w:r w:rsidRPr="008C397E">
        <w:t xml:space="preserve">Masini, A., </w:t>
      </w:r>
      <w:proofErr w:type="spellStart"/>
      <w:r w:rsidRPr="008C397E">
        <w:t>Salussolia</w:t>
      </w:r>
      <w:proofErr w:type="spellEnd"/>
      <w:r w:rsidRPr="008C397E">
        <w:t>, A., Anastasia, A. et al. Evaluation of school-</w:t>
      </w:r>
      <w:proofErr w:type="spellStart"/>
      <w:r w:rsidRPr="008C397E">
        <w:t>based</w:t>
      </w:r>
      <w:proofErr w:type="spellEnd"/>
      <w:r w:rsidRPr="008C397E">
        <w:t xml:space="preserve"> </w:t>
      </w:r>
      <w:proofErr w:type="spellStart"/>
      <w:r w:rsidRPr="008C397E">
        <w:t>interventions</w:t>
      </w:r>
      <w:proofErr w:type="spellEnd"/>
      <w:r w:rsidRPr="008C397E">
        <w:t xml:space="preserve"> </w:t>
      </w:r>
      <w:proofErr w:type="spellStart"/>
      <w:r w:rsidRPr="008C397E">
        <w:t>including</w:t>
      </w:r>
      <w:proofErr w:type="spellEnd"/>
      <w:r w:rsidRPr="008C397E">
        <w:t xml:space="preserve"> </w:t>
      </w:r>
      <w:proofErr w:type="spellStart"/>
      <w:r w:rsidRPr="008C397E">
        <w:t>homework</w:t>
      </w:r>
      <w:proofErr w:type="spellEnd"/>
      <w:r w:rsidRPr="008C397E">
        <w:t xml:space="preserve"> to </w:t>
      </w:r>
      <w:proofErr w:type="spellStart"/>
      <w:r w:rsidRPr="008C397E">
        <w:t>promote</w:t>
      </w:r>
      <w:proofErr w:type="spellEnd"/>
      <w:r w:rsidRPr="008C397E">
        <w:t xml:space="preserve"> </w:t>
      </w:r>
      <w:proofErr w:type="spellStart"/>
      <w:r w:rsidRPr="008C397E">
        <w:t>healthy</w:t>
      </w:r>
      <w:proofErr w:type="spellEnd"/>
      <w:r w:rsidRPr="008C397E">
        <w:t xml:space="preserve"> lifestyles: a </w:t>
      </w:r>
      <w:proofErr w:type="spellStart"/>
      <w:r w:rsidRPr="008C397E">
        <w:t>systematic</w:t>
      </w:r>
      <w:proofErr w:type="spellEnd"/>
      <w:r w:rsidRPr="008C397E">
        <w:t xml:space="preserve"> review with meta-</w:t>
      </w:r>
      <w:proofErr w:type="spellStart"/>
      <w:r w:rsidRPr="008C397E">
        <w:t>analysis</w:t>
      </w:r>
      <w:proofErr w:type="spellEnd"/>
      <w:r w:rsidRPr="008C397E">
        <w:t>. J Public Health (Berl.) 34, 23–39 (2026). https://doi.org/10.1007/s10389-024-02239-6</w:t>
      </w:r>
    </w:p>
  </w:footnote>
  <w:footnote w:id="3">
    <w:p w14:paraId="04071855" w14:textId="77777777" w:rsidR="0021385D" w:rsidRDefault="0021385D" w:rsidP="0021385D">
      <w:pPr>
        <w:pStyle w:val="Fotnotetekst"/>
      </w:pPr>
      <w:r>
        <w:rPr>
          <w:rStyle w:val="Fotnotereferanse"/>
        </w:rPr>
        <w:footnoteRef/>
      </w:r>
      <w:r>
        <w:t xml:space="preserve"> Khanal SP, Budhathoki CB, Okan O, van Teijlingen E, Sharma MK, Acharya J, et al. </w:t>
      </w:r>
      <w:proofErr w:type="spellStart"/>
      <w:r>
        <w:t>Systematic</w:t>
      </w:r>
      <w:proofErr w:type="spellEnd"/>
      <w:r>
        <w:t xml:space="preserve"> review of</w:t>
      </w:r>
    </w:p>
    <w:p w14:paraId="1F3D2B81" w14:textId="77777777" w:rsidR="0021385D" w:rsidRPr="00664E78" w:rsidRDefault="0021385D" w:rsidP="0021385D">
      <w:pPr>
        <w:pStyle w:val="Fotnotetekst"/>
        <w:rPr>
          <w:lang w:val="en-US"/>
        </w:rPr>
      </w:pPr>
      <w:r>
        <w:t xml:space="preserve">health </w:t>
      </w:r>
      <w:proofErr w:type="spellStart"/>
      <w:r>
        <w:t>literacy</w:t>
      </w:r>
      <w:proofErr w:type="spellEnd"/>
      <w:r>
        <w:t xml:space="preserve"> and health promotion in school-</w:t>
      </w:r>
      <w:proofErr w:type="spellStart"/>
      <w:r>
        <w:t>aged</w:t>
      </w:r>
      <w:proofErr w:type="spellEnd"/>
      <w:r>
        <w:t xml:space="preserve"> </w:t>
      </w:r>
      <w:proofErr w:type="spellStart"/>
      <w:r>
        <w:t>adolescents</w:t>
      </w:r>
      <w:proofErr w:type="spellEnd"/>
      <w:r>
        <w:t xml:space="preserve">. J </w:t>
      </w:r>
      <w:proofErr w:type="spellStart"/>
      <w:r>
        <w:t>Educ</w:t>
      </w:r>
      <w:proofErr w:type="spellEnd"/>
      <w:r>
        <w:t xml:space="preserve"> Community Health. 2023; 10(1):49-57. doi:10.34172/jech.2023.1982</w:t>
      </w:r>
    </w:p>
  </w:footnote>
  <w:footnote w:id="4">
    <w:p w14:paraId="53492B3E" w14:textId="77777777" w:rsidR="0021385D" w:rsidRPr="00C2405B" w:rsidRDefault="0021385D" w:rsidP="0021385D">
      <w:pPr>
        <w:pStyle w:val="Fotnotetekst"/>
        <w:rPr>
          <w:lang w:val="nb-NO"/>
        </w:rPr>
      </w:pPr>
      <w:r>
        <w:rPr>
          <w:rStyle w:val="Fotnotereferanse"/>
        </w:rPr>
        <w:footnoteRef/>
      </w:r>
      <w:r>
        <w:t xml:space="preserve"> </w:t>
      </w:r>
      <w:r w:rsidRPr="00C2405B">
        <w:t xml:space="preserve">Ma, I., Sultan, M., Kozyreva, A. et al. </w:t>
      </w:r>
      <w:proofErr w:type="spellStart"/>
      <w:r w:rsidRPr="00C2405B">
        <w:t>Understanding</w:t>
      </w:r>
      <w:proofErr w:type="spellEnd"/>
      <w:r w:rsidRPr="00C2405B">
        <w:t xml:space="preserve"> the impact of </w:t>
      </w:r>
      <w:proofErr w:type="spellStart"/>
      <w:r w:rsidRPr="00C2405B">
        <w:t>misinformation</w:t>
      </w:r>
      <w:proofErr w:type="spellEnd"/>
      <w:r w:rsidRPr="00C2405B">
        <w:t xml:space="preserve"> on </w:t>
      </w:r>
      <w:proofErr w:type="spellStart"/>
      <w:r w:rsidRPr="00C2405B">
        <w:t>adolescents</w:t>
      </w:r>
      <w:proofErr w:type="spellEnd"/>
      <w:r w:rsidRPr="00C2405B">
        <w:t>. Nat Hum Behav 10, 18–28 (2026). https://doi.org/10.1038/s41562-025-02338-8</w:t>
      </w:r>
    </w:p>
  </w:footnote>
  <w:footnote w:id="5">
    <w:p w14:paraId="4C3F6647" w14:textId="77777777" w:rsidR="00F313C4" w:rsidRPr="00295964" w:rsidRDefault="00F313C4" w:rsidP="00F313C4">
      <w:pPr>
        <w:pStyle w:val="Fotnotetekst"/>
        <w:rPr>
          <w:lang w:val="en-US"/>
        </w:rPr>
      </w:pPr>
      <w:r>
        <w:rPr>
          <w:rStyle w:val="Fotnotereferanse"/>
        </w:rPr>
        <w:footnoteRef/>
      </w:r>
      <w:r>
        <w:t xml:space="preserve"> </w:t>
      </w:r>
      <w:r w:rsidRPr="00696517">
        <w:t xml:space="preserve">Flodgren G, Helleve A, Selstø A, et al. Youth </w:t>
      </w:r>
      <w:proofErr w:type="spellStart"/>
      <w:r w:rsidRPr="00696517">
        <w:t>involvement</w:t>
      </w:r>
      <w:proofErr w:type="spellEnd"/>
      <w:r w:rsidRPr="00696517">
        <w:t xml:space="preserve"> in policy </w:t>
      </w:r>
      <w:proofErr w:type="spellStart"/>
      <w:r w:rsidRPr="00696517">
        <w:t>processes</w:t>
      </w:r>
      <w:proofErr w:type="spellEnd"/>
      <w:r w:rsidRPr="00696517">
        <w:t xml:space="preserve"> in public health, </w:t>
      </w:r>
      <w:proofErr w:type="spellStart"/>
      <w:r w:rsidRPr="00696517">
        <w:t>education</w:t>
      </w:r>
      <w:proofErr w:type="spellEnd"/>
      <w:r w:rsidRPr="00696517">
        <w:t xml:space="preserve">, and social work—A </w:t>
      </w:r>
      <w:proofErr w:type="spellStart"/>
      <w:r w:rsidRPr="00696517">
        <w:t>scoping</w:t>
      </w:r>
      <w:proofErr w:type="spellEnd"/>
      <w:r w:rsidRPr="00696517">
        <w:t xml:space="preserve"> review. </w:t>
      </w:r>
      <w:proofErr w:type="spellStart"/>
      <w:r w:rsidRPr="00696517">
        <w:t>Obesity</w:t>
      </w:r>
      <w:proofErr w:type="spellEnd"/>
      <w:r w:rsidRPr="00696517">
        <w:t xml:space="preserve"> Reviews. 2025;26(4</w:t>
      </w:r>
      <w:proofErr w:type="gramStart"/>
      <w:r w:rsidRPr="00696517">
        <w:t>):e</w:t>
      </w:r>
      <w:proofErr w:type="gramEnd"/>
      <w:r w:rsidRPr="00696517">
        <w:t xml:space="preserve">13874. </w:t>
      </w:r>
      <w:proofErr w:type="gramStart"/>
      <w:r w:rsidRPr="00696517">
        <w:t>doi:10.1111</w:t>
      </w:r>
      <w:proofErr w:type="gramEnd"/>
      <w:r w:rsidRPr="00696517">
        <w:t>/obr.13874</w:t>
      </w:r>
    </w:p>
  </w:footnote>
  <w:footnote w:id="6">
    <w:p w14:paraId="52CEC369" w14:textId="5B85C47E" w:rsidR="007F6E1E" w:rsidRPr="00E90E46" w:rsidRDefault="007F6E1E" w:rsidP="00E90E46">
      <w:pPr>
        <w:pStyle w:val="Fotnotetekst"/>
        <w:rPr>
          <w:lang w:val="en-US"/>
        </w:rPr>
      </w:pPr>
      <w:r>
        <w:rPr>
          <w:rStyle w:val="Fotnotereferanse"/>
        </w:rPr>
        <w:footnoteRef/>
      </w:r>
      <w:r>
        <w:t xml:space="preserve"> </w:t>
      </w:r>
      <w:r w:rsidR="00E90E46">
        <w:t xml:space="preserve">Making </w:t>
      </w:r>
      <w:proofErr w:type="spellStart"/>
      <w:r w:rsidR="00E90E46">
        <w:t>every</w:t>
      </w:r>
      <w:proofErr w:type="spellEnd"/>
      <w:r w:rsidR="00E90E46">
        <w:t xml:space="preserve"> school a health-</w:t>
      </w:r>
      <w:proofErr w:type="spellStart"/>
      <w:r w:rsidR="00E90E46">
        <w:t>promoting</w:t>
      </w:r>
      <w:proofErr w:type="spellEnd"/>
      <w:r w:rsidR="00E90E46">
        <w:t xml:space="preserve"> school: </w:t>
      </w:r>
      <w:proofErr w:type="spellStart"/>
      <w:r w:rsidR="00E90E46">
        <w:t>implementation</w:t>
      </w:r>
      <w:proofErr w:type="spellEnd"/>
      <w:r w:rsidR="00E90E46">
        <w:t xml:space="preserve"> </w:t>
      </w:r>
      <w:proofErr w:type="spellStart"/>
      <w:r w:rsidR="00E90E46">
        <w:t>guidance</w:t>
      </w:r>
      <w:proofErr w:type="spellEnd"/>
      <w:r w:rsidR="00E90E46">
        <w:t>. Geneva: World Health Organization and the United Nations Educational, Scientific and Cultural Organization; 2021.</w:t>
      </w:r>
    </w:p>
  </w:footnote>
  <w:footnote w:id="7">
    <w:p w14:paraId="66EB1961" w14:textId="31E9A4A7" w:rsidR="008C1BD2" w:rsidRPr="008C1BD2" w:rsidRDefault="008C1BD2" w:rsidP="008C1BD2">
      <w:pPr>
        <w:pStyle w:val="Fotnotetekst"/>
        <w:rPr>
          <w:lang w:val="en-US"/>
        </w:rPr>
      </w:pPr>
      <w:r>
        <w:rPr>
          <w:rStyle w:val="Fotnotereferanse"/>
        </w:rPr>
        <w:footnoteRef/>
      </w:r>
      <w:r>
        <w:t xml:space="preserve"> </w:t>
      </w:r>
      <w:proofErr w:type="spellStart"/>
      <w:r w:rsidRPr="008C1BD2">
        <w:rPr>
          <w:lang w:val="en-US"/>
        </w:rPr>
        <w:t>EuroHealthNet</w:t>
      </w:r>
      <w:proofErr w:type="spellEnd"/>
      <w:r w:rsidRPr="008C1BD2">
        <w:rPr>
          <w:lang w:val="en-US"/>
        </w:rPr>
        <w:t xml:space="preserve"> </w:t>
      </w:r>
      <w:r w:rsidR="002C59FA">
        <w:rPr>
          <w:lang w:val="en-US"/>
        </w:rPr>
        <w:t xml:space="preserve">(2024) </w:t>
      </w:r>
      <w:r w:rsidRPr="008C1BD2">
        <w:rPr>
          <w:lang w:val="en-US"/>
        </w:rPr>
        <w:t>Report on Policy and practice to strengthen</w:t>
      </w:r>
      <w:r>
        <w:rPr>
          <w:lang w:val="en-US"/>
        </w:rPr>
        <w:t xml:space="preserve"> </w:t>
      </w:r>
      <w:r w:rsidRPr="008C1BD2">
        <w:rPr>
          <w:lang w:val="en-US"/>
        </w:rPr>
        <w:t>the Health Promoting School approach across the</w:t>
      </w:r>
    </w:p>
    <w:p w14:paraId="06E678C2" w14:textId="233F8583" w:rsidR="008C1BD2" w:rsidRPr="007B7A29" w:rsidRDefault="008C1BD2" w:rsidP="008C1BD2">
      <w:pPr>
        <w:pStyle w:val="Fotnotetekst"/>
        <w:rPr>
          <w:lang w:val="en-US"/>
        </w:rPr>
      </w:pPr>
      <w:r w:rsidRPr="007B7A29">
        <w:rPr>
          <w:lang w:val="en-US"/>
        </w:rPr>
        <w:t>EU</w:t>
      </w:r>
      <w:r w:rsidR="002C59FA" w:rsidRPr="007B7A29">
        <w:rPr>
          <w:lang w:val="en-US"/>
        </w:rPr>
        <w:t xml:space="preserve"> </w:t>
      </w:r>
      <w:r w:rsidRPr="007B7A29">
        <w:rPr>
          <w:lang w:val="en-US"/>
        </w:rPr>
        <w:t>31 January 2024</w:t>
      </w:r>
    </w:p>
  </w:footnote>
  <w:footnote w:id="8">
    <w:p w14:paraId="62C41F8B" w14:textId="77777777" w:rsidR="00B83B08" w:rsidRDefault="00B83B08" w:rsidP="00B83B08">
      <w:pPr>
        <w:pStyle w:val="Fotnotetekst"/>
      </w:pPr>
      <w:r>
        <w:rPr>
          <w:rStyle w:val="Fotnotereferanse"/>
        </w:rPr>
        <w:footnoteRef/>
      </w:r>
      <w:r>
        <w:t xml:space="preserve"> Hovmand PS. (2014) Community </w:t>
      </w:r>
      <w:proofErr w:type="spellStart"/>
      <w:r>
        <w:t>Based</w:t>
      </w:r>
      <w:proofErr w:type="spellEnd"/>
      <w:r>
        <w:t xml:space="preserve"> System Dynamics. New York: Springer. 26. Baum F et al. (2006).</w:t>
      </w:r>
    </w:p>
    <w:p w14:paraId="473C316E" w14:textId="18FB0F3C" w:rsidR="00B83B08" w:rsidRPr="00B83B08" w:rsidRDefault="00B83B08" w:rsidP="00B83B08">
      <w:pPr>
        <w:pStyle w:val="Fotnotetekst"/>
        <w:rPr>
          <w:lang w:val="en-US"/>
        </w:rPr>
      </w:pPr>
      <w:proofErr w:type="spellStart"/>
      <w:r>
        <w:t>Participatory</w:t>
      </w:r>
      <w:proofErr w:type="spellEnd"/>
      <w:r>
        <w:t xml:space="preserve"> action </w:t>
      </w:r>
      <w:proofErr w:type="spellStart"/>
      <w:r>
        <w:t>research</w:t>
      </w:r>
      <w:proofErr w:type="spellEnd"/>
      <w:r>
        <w:t xml:space="preserve">. J </w:t>
      </w:r>
      <w:proofErr w:type="spellStart"/>
      <w:r>
        <w:t>Epidemiol</w:t>
      </w:r>
      <w:proofErr w:type="spellEnd"/>
      <w:r>
        <w:t xml:space="preserve"> Community Health. ;60(10):854-857</w:t>
      </w:r>
    </w:p>
  </w:footnote>
  <w:footnote w:id="9">
    <w:p w14:paraId="6E7049BB" w14:textId="51FD90AE" w:rsidR="004618B3" w:rsidRDefault="004618B3" w:rsidP="004618B3">
      <w:pPr>
        <w:pStyle w:val="Fotnotetekst"/>
      </w:pPr>
      <w:r>
        <w:rPr>
          <w:rStyle w:val="Fotnotereferanse"/>
        </w:rPr>
        <w:footnoteRef/>
      </w:r>
      <w:r>
        <w:t xml:space="preserve"> Savona, N et al (2021). </w:t>
      </w:r>
      <w:proofErr w:type="spellStart"/>
      <w:r>
        <w:t>Identifying</w:t>
      </w:r>
      <w:proofErr w:type="spellEnd"/>
      <w:r>
        <w:t xml:space="preserve"> the </w:t>
      </w:r>
      <w:proofErr w:type="spellStart"/>
      <w:r>
        <w:t>views</w:t>
      </w:r>
      <w:proofErr w:type="spellEnd"/>
      <w:r>
        <w:t xml:space="preserve"> of </w:t>
      </w:r>
      <w:proofErr w:type="spellStart"/>
      <w:r>
        <w:t>adolescents</w:t>
      </w:r>
      <w:proofErr w:type="spellEnd"/>
      <w:r>
        <w:t xml:space="preserve"> in </w:t>
      </w:r>
      <w:proofErr w:type="spellStart"/>
      <w:r>
        <w:t>five</w:t>
      </w:r>
      <w:proofErr w:type="spellEnd"/>
      <w:r>
        <w:t xml:space="preserve"> </w:t>
      </w:r>
      <w:proofErr w:type="spellStart"/>
      <w:r>
        <w:t>European</w:t>
      </w:r>
      <w:proofErr w:type="spellEnd"/>
      <w:r>
        <w:t xml:space="preserve"> countries on the drivers of </w:t>
      </w:r>
      <w:proofErr w:type="spellStart"/>
      <w:r>
        <w:t>obesity</w:t>
      </w:r>
      <w:proofErr w:type="spellEnd"/>
      <w:r>
        <w:t xml:space="preserve"> </w:t>
      </w:r>
      <w:proofErr w:type="spellStart"/>
      <w:r>
        <w:t>using</w:t>
      </w:r>
      <w:proofErr w:type="spellEnd"/>
      <w:r>
        <w:t xml:space="preserve"> group model building. </w:t>
      </w:r>
      <w:proofErr w:type="spellStart"/>
      <w:r>
        <w:t>European</w:t>
      </w:r>
      <w:proofErr w:type="spellEnd"/>
      <w:r>
        <w:t xml:space="preserve"> Journal of Public Health</w:t>
      </w:r>
    </w:p>
    <w:p w14:paraId="172542C5" w14:textId="64C97016" w:rsidR="004618B3" w:rsidRPr="004618B3" w:rsidRDefault="004618B3" w:rsidP="004618B3">
      <w:pPr>
        <w:pStyle w:val="Fotnotetekst"/>
      </w:pPr>
      <w:r>
        <w:t>31(2):391-396</w:t>
      </w:r>
    </w:p>
  </w:footnote>
  <w:footnote w:id="10">
    <w:p w14:paraId="0B4EAB83" w14:textId="77777777" w:rsidR="00CF3B8F" w:rsidRPr="00295964" w:rsidRDefault="00CF3B8F" w:rsidP="00CF3B8F">
      <w:pPr>
        <w:pStyle w:val="Fotnotetekst"/>
        <w:rPr>
          <w:lang w:val="en-US"/>
        </w:rPr>
      </w:pPr>
      <w:r>
        <w:rPr>
          <w:rStyle w:val="Fotnotereferanse"/>
        </w:rPr>
        <w:footnoteRef/>
      </w:r>
      <w:r>
        <w:t xml:space="preserve"> </w:t>
      </w:r>
      <w:hyperlink r:id="rId1" w:history="1">
        <w:r w:rsidRPr="002B54B2">
          <w:rPr>
            <w:rStyle w:val="Hyperkobling"/>
          </w:rPr>
          <w:t>https://www.gov.uk/government/publications/health-equity-assessment-tool-heat</w:t>
        </w:r>
      </w:hyperlink>
      <w:r>
        <w:t xml:space="preserve"> </w:t>
      </w:r>
    </w:p>
  </w:footnote>
  <w:footnote w:id="11">
    <w:p w14:paraId="05C68D3F" w14:textId="77777777" w:rsidR="00F81E57" w:rsidRPr="00295964" w:rsidRDefault="00F81E57" w:rsidP="00F81E57">
      <w:pPr>
        <w:pStyle w:val="Fotnotetekst"/>
        <w:rPr>
          <w:lang w:val="en-US"/>
        </w:rPr>
      </w:pPr>
      <w:r>
        <w:rPr>
          <w:rStyle w:val="Fotnotereferanse"/>
        </w:rPr>
        <w:footnoteRef/>
      </w:r>
      <w:r>
        <w:t xml:space="preserve"> </w:t>
      </w:r>
      <w:hyperlink r:id="rId2" w:history="1">
        <w:r w:rsidRPr="002B54B2">
          <w:rPr>
            <w:rStyle w:val="Hyperkobling"/>
          </w:rPr>
          <w:t>https://www.preventncd.eu/</w:t>
        </w:r>
      </w:hyperlink>
      <w:r>
        <w:t xml:space="preserve"> </w:t>
      </w:r>
    </w:p>
  </w:footnote>
  <w:footnote w:id="12">
    <w:p w14:paraId="3006F7B9" w14:textId="3ADD5B6D" w:rsidR="00875B66" w:rsidRPr="00875B66" w:rsidRDefault="00875B66">
      <w:pPr>
        <w:pStyle w:val="Fotnotetekst"/>
      </w:pPr>
      <w:r>
        <w:rPr>
          <w:rStyle w:val="Fotnotereferanse"/>
        </w:rPr>
        <w:footnoteRef/>
      </w:r>
      <w:r>
        <w:t xml:space="preserve"> </w:t>
      </w:r>
      <w:r w:rsidRPr="00875B66">
        <w:t>Klepp K-I, Helleve A, Høstrup E, et al. Scaling up non-</w:t>
      </w:r>
      <w:proofErr w:type="spellStart"/>
      <w:r w:rsidRPr="00875B66">
        <w:t>communicable</w:t>
      </w:r>
      <w:proofErr w:type="spellEnd"/>
      <w:r w:rsidRPr="00875B66">
        <w:t xml:space="preserve"> </w:t>
      </w:r>
      <w:proofErr w:type="spellStart"/>
      <w:r w:rsidRPr="00875B66">
        <w:t>disease</w:t>
      </w:r>
      <w:proofErr w:type="spellEnd"/>
      <w:r w:rsidRPr="00875B66">
        <w:t xml:space="preserve"> </w:t>
      </w:r>
      <w:proofErr w:type="spellStart"/>
      <w:r w:rsidRPr="00875B66">
        <w:t>prevention</w:t>
      </w:r>
      <w:proofErr w:type="spellEnd"/>
      <w:r w:rsidRPr="00875B66">
        <w:t xml:space="preserve"> and health promotion </w:t>
      </w:r>
      <w:proofErr w:type="spellStart"/>
      <w:r w:rsidRPr="00875B66">
        <w:t>across</w:t>
      </w:r>
      <w:proofErr w:type="spellEnd"/>
      <w:r w:rsidRPr="00875B66">
        <w:t xml:space="preserve"> Europe: The Joint Action PreventNCD. </w:t>
      </w:r>
      <w:proofErr w:type="spellStart"/>
      <w:r w:rsidRPr="00875B66">
        <w:t>Scandinavian</w:t>
      </w:r>
      <w:proofErr w:type="spellEnd"/>
      <w:r w:rsidRPr="00875B66">
        <w:t xml:space="preserve"> Journal of Public Health. 2025;53(3_suppl):8-17. </w:t>
      </w:r>
      <w:proofErr w:type="gramStart"/>
      <w:r w:rsidRPr="00875B66">
        <w:t>doi:10.1177</w:t>
      </w:r>
      <w:proofErr w:type="gramEnd"/>
      <w:r w:rsidRPr="00875B66">
        <w:t>/14034948251352040</w:t>
      </w:r>
    </w:p>
  </w:footnote>
  <w:footnote w:id="13">
    <w:p w14:paraId="3A76A1C3" w14:textId="38C3D551" w:rsidR="004F7931" w:rsidRPr="007B7A29" w:rsidRDefault="004F7931">
      <w:pPr>
        <w:pStyle w:val="Fotnotetekst"/>
        <w:rPr>
          <w:lang w:val="en-US"/>
        </w:rPr>
      </w:pPr>
      <w:r>
        <w:rPr>
          <w:rStyle w:val="Fotnotereferanse"/>
        </w:rPr>
        <w:footnoteRef/>
      </w:r>
      <w:r>
        <w:t xml:space="preserve"> </w:t>
      </w:r>
      <w:r w:rsidRPr="004F7931">
        <w:t xml:space="preserve">Helleve A, Gregório MJ, Bergsvik D, et al. </w:t>
      </w:r>
      <w:proofErr w:type="spellStart"/>
      <w:r w:rsidRPr="004F7931">
        <w:t>Strengthening</w:t>
      </w:r>
      <w:proofErr w:type="spellEnd"/>
      <w:r w:rsidRPr="004F7931">
        <w:t xml:space="preserve"> the use of </w:t>
      </w:r>
      <w:proofErr w:type="spellStart"/>
      <w:r w:rsidRPr="004F7931">
        <w:t>regulatory</w:t>
      </w:r>
      <w:proofErr w:type="spellEnd"/>
      <w:r w:rsidRPr="004F7931">
        <w:t xml:space="preserve"> policy </w:t>
      </w:r>
      <w:proofErr w:type="spellStart"/>
      <w:r w:rsidRPr="004F7931">
        <w:t>measures</w:t>
      </w:r>
      <w:proofErr w:type="spellEnd"/>
      <w:r w:rsidRPr="004F7931">
        <w:t xml:space="preserve"> for </w:t>
      </w:r>
      <w:proofErr w:type="spellStart"/>
      <w:r w:rsidRPr="004F7931">
        <w:t>prevention</w:t>
      </w:r>
      <w:proofErr w:type="spellEnd"/>
      <w:r w:rsidRPr="004F7931">
        <w:t xml:space="preserve"> of </w:t>
      </w:r>
      <w:proofErr w:type="spellStart"/>
      <w:r w:rsidRPr="004F7931">
        <w:t>NCDs</w:t>
      </w:r>
      <w:proofErr w:type="spellEnd"/>
      <w:r w:rsidRPr="004F7931">
        <w:t xml:space="preserve"> in Europe </w:t>
      </w:r>
      <w:proofErr w:type="spellStart"/>
      <w:r w:rsidRPr="004F7931">
        <w:t>through</w:t>
      </w:r>
      <w:proofErr w:type="spellEnd"/>
      <w:r w:rsidRPr="004F7931">
        <w:t xml:space="preserve"> the JA PreventNCD project. </w:t>
      </w:r>
      <w:proofErr w:type="spellStart"/>
      <w:r w:rsidRPr="004F7931">
        <w:t>Scandinavian</w:t>
      </w:r>
      <w:proofErr w:type="spellEnd"/>
      <w:r w:rsidRPr="004F7931">
        <w:t xml:space="preserve"> Journal of Public Health. 2025;53(3_suppl):27-34. </w:t>
      </w:r>
      <w:proofErr w:type="gramStart"/>
      <w:r w:rsidRPr="004F7931">
        <w:t>doi:10.1177</w:t>
      </w:r>
      <w:proofErr w:type="gramEnd"/>
      <w:r w:rsidRPr="004F7931">
        <w:t>/14034948251374402</w:t>
      </w:r>
    </w:p>
  </w:footnote>
  <w:footnote w:id="14">
    <w:p w14:paraId="6B0543D7" w14:textId="77777777" w:rsidR="00B73A5D" w:rsidRPr="007B7A29" w:rsidRDefault="00B73A5D" w:rsidP="00B73A5D">
      <w:pPr>
        <w:pStyle w:val="Fotnotetekst"/>
        <w:rPr>
          <w:lang w:val="en-US"/>
        </w:rPr>
      </w:pPr>
      <w:r>
        <w:rPr>
          <w:rStyle w:val="Fotnotereferanse"/>
        </w:rPr>
        <w:footnoteRef/>
      </w:r>
      <w:r>
        <w:t xml:space="preserve"> </w:t>
      </w:r>
      <w:hyperlink r:id="rId3" w:history="1">
        <w:r w:rsidRPr="002B54B2">
          <w:rPr>
            <w:rStyle w:val="Hyperkobling"/>
          </w:rPr>
          <w:t>https://cordis.europa.eu/project/id/774210</w:t>
        </w:r>
      </w:hyperlink>
      <w:r>
        <w:t xml:space="preserve"> </w:t>
      </w:r>
    </w:p>
  </w:footnote>
  <w:footnote w:id="15">
    <w:p w14:paraId="5232D03F" w14:textId="76A55FD2" w:rsidR="0059601D" w:rsidRPr="0059601D" w:rsidRDefault="0059601D">
      <w:pPr>
        <w:pStyle w:val="Fotnotetekst"/>
      </w:pPr>
      <w:r>
        <w:rPr>
          <w:rStyle w:val="Fotnotereferanse"/>
        </w:rPr>
        <w:footnoteRef/>
      </w:r>
      <w:r>
        <w:t xml:space="preserve"> </w:t>
      </w:r>
      <w:r w:rsidRPr="0059601D">
        <w:t xml:space="preserve">Klepp K-I, Helleve A, Brinsden H, et al. </w:t>
      </w:r>
      <w:proofErr w:type="spellStart"/>
      <w:r w:rsidRPr="0059601D">
        <w:t>Overweight</w:t>
      </w:r>
      <w:proofErr w:type="spellEnd"/>
      <w:r w:rsidRPr="0059601D">
        <w:t xml:space="preserve"> and </w:t>
      </w:r>
      <w:proofErr w:type="spellStart"/>
      <w:r w:rsidRPr="0059601D">
        <w:t>obesity</w:t>
      </w:r>
      <w:proofErr w:type="spellEnd"/>
      <w:r w:rsidRPr="0059601D">
        <w:t xml:space="preserve"> </w:t>
      </w:r>
      <w:proofErr w:type="spellStart"/>
      <w:r w:rsidRPr="0059601D">
        <w:t>prevention</w:t>
      </w:r>
      <w:proofErr w:type="spellEnd"/>
      <w:r w:rsidRPr="0059601D">
        <w:t xml:space="preserve"> for and with </w:t>
      </w:r>
      <w:proofErr w:type="spellStart"/>
      <w:r w:rsidRPr="0059601D">
        <w:t>adolescents</w:t>
      </w:r>
      <w:proofErr w:type="spellEnd"/>
      <w:r w:rsidRPr="0059601D">
        <w:t>: The “</w:t>
      </w:r>
      <w:proofErr w:type="spellStart"/>
      <w:r w:rsidRPr="0059601D">
        <w:t>Confronting</w:t>
      </w:r>
      <w:proofErr w:type="spellEnd"/>
      <w:r w:rsidRPr="0059601D">
        <w:t xml:space="preserve"> </w:t>
      </w:r>
      <w:proofErr w:type="spellStart"/>
      <w:r w:rsidRPr="0059601D">
        <w:t>obesity</w:t>
      </w:r>
      <w:proofErr w:type="spellEnd"/>
      <w:r w:rsidRPr="0059601D">
        <w:t>: Co-</w:t>
      </w:r>
      <w:proofErr w:type="spellStart"/>
      <w:r w:rsidRPr="0059601D">
        <w:t>creating</w:t>
      </w:r>
      <w:proofErr w:type="spellEnd"/>
      <w:r w:rsidRPr="0059601D">
        <w:t xml:space="preserve"> policy with </w:t>
      </w:r>
      <w:proofErr w:type="spellStart"/>
      <w:r w:rsidRPr="0059601D">
        <w:t>youth</w:t>
      </w:r>
      <w:proofErr w:type="spellEnd"/>
      <w:r w:rsidRPr="0059601D">
        <w:t xml:space="preserve">” (CO-CREATE) project. </w:t>
      </w:r>
      <w:proofErr w:type="spellStart"/>
      <w:r w:rsidRPr="0059601D">
        <w:t>Obesity</w:t>
      </w:r>
      <w:proofErr w:type="spellEnd"/>
      <w:r w:rsidRPr="0059601D">
        <w:t xml:space="preserve"> Reviews. 2023;24(S1</w:t>
      </w:r>
      <w:proofErr w:type="gramStart"/>
      <w:r w:rsidRPr="0059601D">
        <w:t>):e</w:t>
      </w:r>
      <w:proofErr w:type="gramEnd"/>
      <w:r w:rsidRPr="0059601D">
        <w:t xml:space="preserve">13540. </w:t>
      </w:r>
      <w:proofErr w:type="gramStart"/>
      <w:r w:rsidRPr="0059601D">
        <w:t>doi:10.1111</w:t>
      </w:r>
      <w:proofErr w:type="gramEnd"/>
      <w:r w:rsidRPr="0059601D">
        <w:t>/obr.13540</w:t>
      </w:r>
    </w:p>
  </w:footnote>
  <w:footnote w:id="16">
    <w:p w14:paraId="46E66378" w14:textId="77777777" w:rsidR="00A30DFA" w:rsidRPr="00A30DFA" w:rsidRDefault="00A30DFA" w:rsidP="00A30DFA">
      <w:pPr>
        <w:pStyle w:val="Fotnotetekst"/>
        <w:rPr>
          <w:lang w:val="en-US"/>
        </w:rPr>
      </w:pPr>
      <w:r>
        <w:rPr>
          <w:rStyle w:val="Fotnotereferanse"/>
        </w:rPr>
        <w:footnoteRef/>
      </w:r>
      <w:r>
        <w:t xml:space="preserve"> </w:t>
      </w:r>
      <w:r w:rsidRPr="00E47D88">
        <w:t xml:space="preserve">Ulloa MA, Nesrallah S, </w:t>
      </w:r>
      <w:proofErr w:type="spellStart"/>
      <w:r w:rsidRPr="00E47D88">
        <w:t>Shafafi</w:t>
      </w:r>
      <w:proofErr w:type="spellEnd"/>
      <w:r w:rsidRPr="00E47D88">
        <w:t xml:space="preserve"> P, et al. </w:t>
      </w:r>
      <w:proofErr w:type="spellStart"/>
      <w:r w:rsidRPr="00E47D88">
        <w:t>Designing</w:t>
      </w:r>
      <w:proofErr w:type="spellEnd"/>
      <w:r w:rsidRPr="00E47D88">
        <w:t xml:space="preserve"> a </w:t>
      </w:r>
      <w:proofErr w:type="spellStart"/>
      <w:r w:rsidRPr="00E47D88">
        <w:t>youth</w:t>
      </w:r>
      <w:proofErr w:type="spellEnd"/>
      <w:r w:rsidRPr="00E47D88">
        <w:t xml:space="preserve">-led </w:t>
      </w:r>
      <w:proofErr w:type="spellStart"/>
      <w:r w:rsidRPr="00E47D88">
        <w:t>Dialogue</w:t>
      </w:r>
      <w:proofErr w:type="spellEnd"/>
      <w:r w:rsidRPr="00E47D88">
        <w:t xml:space="preserve"> Forum tool: The CO-CREATE </w:t>
      </w:r>
      <w:proofErr w:type="spellStart"/>
      <w:r w:rsidRPr="00E47D88">
        <w:t>experience</w:t>
      </w:r>
      <w:proofErr w:type="spellEnd"/>
      <w:r w:rsidRPr="00E47D88">
        <w:t xml:space="preserve">. </w:t>
      </w:r>
      <w:proofErr w:type="spellStart"/>
      <w:r w:rsidRPr="00E47D88">
        <w:t>Obesity</w:t>
      </w:r>
      <w:proofErr w:type="spellEnd"/>
      <w:r w:rsidRPr="00E47D88">
        <w:t xml:space="preserve"> Reviews. 2023;24(S2</w:t>
      </w:r>
      <w:proofErr w:type="gramStart"/>
      <w:r w:rsidRPr="00E47D88">
        <w:t>):e</w:t>
      </w:r>
      <w:proofErr w:type="gramEnd"/>
      <w:r w:rsidRPr="00E47D88">
        <w:t xml:space="preserve">13611. </w:t>
      </w:r>
      <w:proofErr w:type="gramStart"/>
      <w:r w:rsidRPr="00E47D88">
        <w:t>doi:10.1111</w:t>
      </w:r>
      <w:proofErr w:type="gramEnd"/>
      <w:r w:rsidRPr="00E47D88">
        <w:t>/obr.13611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rson w15:author="Arnfinn Helleve">
    <w15:presenceInfo w15:providerId="AD" w15:userId="S::Arnfinn.Helleve@fhi.no::562387bb-d6cd-482a-906c-bebdaf7f3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EB2"/>
    <w:rsid w:val="00033F01"/>
    <w:rsid w:val="00034054"/>
    <w:rsid w:val="00037D1A"/>
    <w:rsid w:val="0004203E"/>
    <w:rsid w:val="00045646"/>
    <w:rsid w:val="00046286"/>
    <w:rsid w:val="000472E4"/>
    <w:rsid w:val="00052B37"/>
    <w:rsid w:val="00057017"/>
    <w:rsid w:val="00057CC0"/>
    <w:rsid w:val="00060B9D"/>
    <w:rsid w:val="00061549"/>
    <w:rsid w:val="00066101"/>
    <w:rsid w:val="00077A20"/>
    <w:rsid w:val="000864A5"/>
    <w:rsid w:val="00090167"/>
    <w:rsid w:val="00090A88"/>
    <w:rsid w:val="00091F2E"/>
    <w:rsid w:val="0009514A"/>
    <w:rsid w:val="000A0F42"/>
    <w:rsid w:val="000A1CE1"/>
    <w:rsid w:val="000A3C5C"/>
    <w:rsid w:val="000A5EA7"/>
    <w:rsid w:val="000A6895"/>
    <w:rsid w:val="000B0485"/>
    <w:rsid w:val="000B075D"/>
    <w:rsid w:val="000B2AF1"/>
    <w:rsid w:val="000B6798"/>
    <w:rsid w:val="000C054F"/>
    <w:rsid w:val="000C0620"/>
    <w:rsid w:val="000D4491"/>
    <w:rsid w:val="000D6A97"/>
    <w:rsid w:val="000E1A08"/>
    <w:rsid w:val="000E2239"/>
    <w:rsid w:val="000E387A"/>
    <w:rsid w:val="000F1BFF"/>
    <w:rsid w:val="000F769F"/>
    <w:rsid w:val="001030F0"/>
    <w:rsid w:val="00105A7A"/>
    <w:rsid w:val="00106B40"/>
    <w:rsid w:val="00113AB2"/>
    <w:rsid w:val="001165C1"/>
    <w:rsid w:val="0012028B"/>
    <w:rsid w:val="001212C3"/>
    <w:rsid w:val="001254F9"/>
    <w:rsid w:val="001268CA"/>
    <w:rsid w:val="001279C8"/>
    <w:rsid w:val="00131221"/>
    <w:rsid w:val="0013183B"/>
    <w:rsid w:val="00133A29"/>
    <w:rsid w:val="00142719"/>
    <w:rsid w:val="001463B3"/>
    <w:rsid w:val="001478FC"/>
    <w:rsid w:val="00147DFE"/>
    <w:rsid w:val="0015561F"/>
    <w:rsid w:val="0015642A"/>
    <w:rsid w:val="001600AC"/>
    <w:rsid w:val="00163FF7"/>
    <w:rsid w:val="00164349"/>
    <w:rsid w:val="001643E1"/>
    <w:rsid w:val="00166AF6"/>
    <w:rsid w:val="00170D5E"/>
    <w:rsid w:val="001802B8"/>
    <w:rsid w:val="00185B76"/>
    <w:rsid w:val="00186590"/>
    <w:rsid w:val="00187674"/>
    <w:rsid w:val="00192A32"/>
    <w:rsid w:val="00194F71"/>
    <w:rsid w:val="001A08A3"/>
    <w:rsid w:val="001A103F"/>
    <w:rsid w:val="001A380F"/>
    <w:rsid w:val="001A66B4"/>
    <w:rsid w:val="001A7315"/>
    <w:rsid w:val="001B45D2"/>
    <w:rsid w:val="001B5D3D"/>
    <w:rsid w:val="001D2858"/>
    <w:rsid w:val="001D2B33"/>
    <w:rsid w:val="001E1005"/>
    <w:rsid w:val="001E6BB8"/>
    <w:rsid w:val="001E78AA"/>
    <w:rsid w:val="001F16EC"/>
    <w:rsid w:val="001F2BA0"/>
    <w:rsid w:val="001F6449"/>
    <w:rsid w:val="00203900"/>
    <w:rsid w:val="002077C1"/>
    <w:rsid w:val="0021053F"/>
    <w:rsid w:val="002129FD"/>
    <w:rsid w:val="0021385D"/>
    <w:rsid w:val="002156D1"/>
    <w:rsid w:val="002203F3"/>
    <w:rsid w:val="00226E1F"/>
    <w:rsid w:val="00227477"/>
    <w:rsid w:val="002307B3"/>
    <w:rsid w:val="00251AED"/>
    <w:rsid w:val="002528A5"/>
    <w:rsid w:val="00252EE3"/>
    <w:rsid w:val="0025402A"/>
    <w:rsid w:val="00256E9D"/>
    <w:rsid w:val="002575A3"/>
    <w:rsid w:val="00257FC0"/>
    <w:rsid w:val="00262AEB"/>
    <w:rsid w:val="002700C7"/>
    <w:rsid w:val="00273019"/>
    <w:rsid w:val="002764D7"/>
    <w:rsid w:val="002765D2"/>
    <w:rsid w:val="00276A46"/>
    <w:rsid w:val="002919A0"/>
    <w:rsid w:val="00295358"/>
    <w:rsid w:val="00295964"/>
    <w:rsid w:val="002A4235"/>
    <w:rsid w:val="002A459B"/>
    <w:rsid w:val="002A5848"/>
    <w:rsid w:val="002A7221"/>
    <w:rsid w:val="002B54A3"/>
    <w:rsid w:val="002C5722"/>
    <w:rsid w:val="002C59FA"/>
    <w:rsid w:val="002D5474"/>
    <w:rsid w:val="002E0C9B"/>
    <w:rsid w:val="0030170E"/>
    <w:rsid w:val="00314438"/>
    <w:rsid w:val="003247F1"/>
    <w:rsid w:val="00330A79"/>
    <w:rsid w:val="0033738D"/>
    <w:rsid w:val="0034678E"/>
    <w:rsid w:val="00351D32"/>
    <w:rsid w:val="0035408C"/>
    <w:rsid w:val="00362ECA"/>
    <w:rsid w:val="00365177"/>
    <w:rsid w:val="0036694E"/>
    <w:rsid w:val="00370EFB"/>
    <w:rsid w:val="00373694"/>
    <w:rsid w:val="00377C4F"/>
    <w:rsid w:val="003800D6"/>
    <w:rsid w:val="00380B14"/>
    <w:rsid w:val="00383BFA"/>
    <w:rsid w:val="00386E39"/>
    <w:rsid w:val="00391DBA"/>
    <w:rsid w:val="00393D4F"/>
    <w:rsid w:val="003947A0"/>
    <w:rsid w:val="00395B68"/>
    <w:rsid w:val="0039620C"/>
    <w:rsid w:val="00397081"/>
    <w:rsid w:val="003A4CD6"/>
    <w:rsid w:val="003B459A"/>
    <w:rsid w:val="003B4BB0"/>
    <w:rsid w:val="003C073E"/>
    <w:rsid w:val="003C08EC"/>
    <w:rsid w:val="003C29DF"/>
    <w:rsid w:val="003C3F31"/>
    <w:rsid w:val="003C5E38"/>
    <w:rsid w:val="003D0A5D"/>
    <w:rsid w:val="003D2154"/>
    <w:rsid w:val="003D598F"/>
    <w:rsid w:val="003E00A4"/>
    <w:rsid w:val="003E4510"/>
    <w:rsid w:val="003E454D"/>
    <w:rsid w:val="00404355"/>
    <w:rsid w:val="00404518"/>
    <w:rsid w:val="0040647F"/>
    <w:rsid w:val="00412FB5"/>
    <w:rsid w:val="004133B7"/>
    <w:rsid w:val="00414951"/>
    <w:rsid w:val="0042007D"/>
    <w:rsid w:val="0042303D"/>
    <w:rsid w:val="00423BD8"/>
    <w:rsid w:val="0042612A"/>
    <w:rsid w:val="00431B8F"/>
    <w:rsid w:val="00431E32"/>
    <w:rsid w:val="00433C0B"/>
    <w:rsid w:val="004345C4"/>
    <w:rsid w:val="00443403"/>
    <w:rsid w:val="0044389B"/>
    <w:rsid w:val="00445019"/>
    <w:rsid w:val="0044528C"/>
    <w:rsid w:val="004515EA"/>
    <w:rsid w:val="004607E7"/>
    <w:rsid w:val="004618B3"/>
    <w:rsid w:val="00467BEF"/>
    <w:rsid w:val="004820D7"/>
    <w:rsid w:val="00482D96"/>
    <w:rsid w:val="00492CDC"/>
    <w:rsid w:val="00493851"/>
    <w:rsid w:val="004B37D6"/>
    <w:rsid w:val="004C10EF"/>
    <w:rsid w:val="004C217F"/>
    <w:rsid w:val="004C4451"/>
    <w:rsid w:val="004D0338"/>
    <w:rsid w:val="004E010F"/>
    <w:rsid w:val="004F6C87"/>
    <w:rsid w:val="004F7931"/>
    <w:rsid w:val="00501427"/>
    <w:rsid w:val="005025DA"/>
    <w:rsid w:val="005042BE"/>
    <w:rsid w:val="00507414"/>
    <w:rsid w:val="00507B1D"/>
    <w:rsid w:val="00507CD9"/>
    <w:rsid w:val="00513019"/>
    <w:rsid w:val="00513237"/>
    <w:rsid w:val="005159BF"/>
    <w:rsid w:val="00515F4C"/>
    <w:rsid w:val="0051650C"/>
    <w:rsid w:val="00521CBB"/>
    <w:rsid w:val="00521EEB"/>
    <w:rsid w:val="00523075"/>
    <w:rsid w:val="005245B4"/>
    <w:rsid w:val="005324D2"/>
    <w:rsid w:val="00540D88"/>
    <w:rsid w:val="00541649"/>
    <w:rsid w:val="00542C18"/>
    <w:rsid w:val="00544057"/>
    <w:rsid w:val="00551B2A"/>
    <w:rsid w:val="00551D12"/>
    <w:rsid w:val="005538B3"/>
    <w:rsid w:val="005700B4"/>
    <w:rsid w:val="00572683"/>
    <w:rsid w:val="0057398D"/>
    <w:rsid w:val="00573D74"/>
    <w:rsid w:val="00587ADF"/>
    <w:rsid w:val="0059601D"/>
    <w:rsid w:val="005964F3"/>
    <w:rsid w:val="00597E72"/>
    <w:rsid w:val="005A7905"/>
    <w:rsid w:val="005B0269"/>
    <w:rsid w:val="005C1992"/>
    <w:rsid w:val="005C1B90"/>
    <w:rsid w:val="005C1EF4"/>
    <w:rsid w:val="005C4036"/>
    <w:rsid w:val="005C40B3"/>
    <w:rsid w:val="005C54AC"/>
    <w:rsid w:val="005D4C64"/>
    <w:rsid w:val="005E5289"/>
    <w:rsid w:val="005F1A02"/>
    <w:rsid w:val="00600136"/>
    <w:rsid w:val="00600F8B"/>
    <w:rsid w:val="00601CB7"/>
    <w:rsid w:val="0060429F"/>
    <w:rsid w:val="00611505"/>
    <w:rsid w:val="006163FE"/>
    <w:rsid w:val="006166D5"/>
    <w:rsid w:val="00622C1B"/>
    <w:rsid w:val="00623DA8"/>
    <w:rsid w:val="00625B3B"/>
    <w:rsid w:val="006260FC"/>
    <w:rsid w:val="0063198E"/>
    <w:rsid w:val="00633856"/>
    <w:rsid w:val="00635135"/>
    <w:rsid w:val="00641957"/>
    <w:rsid w:val="006531A7"/>
    <w:rsid w:val="00664E78"/>
    <w:rsid w:val="00665E81"/>
    <w:rsid w:val="00671961"/>
    <w:rsid w:val="00673149"/>
    <w:rsid w:val="0067735C"/>
    <w:rsid w:val="006827F6"/>
    <w:rsid w:val="006848FB"/>
    <w:rsid w:val="00692920"/>
    <w:rsid w:val="00696517"/>
    <w:rsid w:val="006A0146"/>
    <w:rsid w:val="006A4CA4"/>
    <w:rsid w:val="006A4ECB"/>
    <w:rsid w:val="006A5C3E"/>
    <w:rsid w:val="006A68CC"/>
    <w:rsid w:val="006B3FC6"/>
    <w:rsid w:val="006B4BFF"/>
    <w:rsid w:val="006B53D1"/>
    <w:rsid w:val="006B75A3"/>
    <w:rsid w:val="006C297A"/>
    <w:rsid w:val="006C34DF"/>
    <w:rsid w:val="006C5170"/>
    <w:rsid w:val="006D0FA5"/>
    <w:rsid w:val="006D6AE5"/>
    <w:rsid w:val="006E3907"/>
    <w:rsid w:val="006F1536"/>
    <w:rsid w:val="006F63F0"/>
    <w:rsid w:val="006F7E3A"/>
    <w:rsid w:val="006F7EB6"/>
    <w:rsid w:val="00701300"/>
    <w:rsid w:val="00712133"/>
    <w:rsid w:val="00717308"/>
    <w:rsid w:val="00721011"/>
    <w:rsid w:val="007226C1"/>
    <w:rsid w:val="007342C0"/>
    <w:rsid w:val="00734B23"/>
    <w:rsid w:val="00734FF6"/>
    <w:rsid w:val="007352FE"/>
    <w:rsid w:val="0074238B"/>
    <w:rsid w:val="00743A21"/>
    <w:rsid w:val="00747FD5"/>
    <w:rsid w:val="00755323"/>
    <w:rsid w:val="00756EE1"/>
    <w:rsid w:val="007629A6"/>
    <w:rsid w:val="007642BC"/>
    <w:rsid w:val="00766644"/>
    <w:rsid w:val="00766E6B"/>
    <w:rsid w:val="00771932"/>
    <w:rsid w:val="00771C15"/>
    <w:rsid w:val="007731AE"/>
    <w:rsid w:val="00777B44"/>
    <w:rsid w:val="00782B33"/>
    <w:rsid w:val="007A47ED"/>
    <w:rsid w:val="007A4FAE"/>
    <w:rsid w:val="007B0328"/>
    <w:rsid w:val="007B2C9F"/>
    <w:rsid w:val="007B3B3C"/>
    <w:rsid w:val="007B4208"/>
    <w:rsid w:val="007B490A"/>
    <w:rsid w:val="007B4DA3"/>
    <w:rsid w:val="007B5D8E"/>
    <w:rsid w:val="007B7A29"/>
    <w:rsid w:val="007C3D61"/>
    <w:rsid w:val="007C4A4D"/>
    <w:rsid w:val="007C57FB"/>
    <w:rsid w:val="007D172A"/>
    <w:rsid w:val="007D6BD1"/>
    <w:rsid w:val="007E1A93"/>
    <w:rsid w:val="007E7794"/>
    <w:rsid w:val="007F0E96"/>
    <w:rsid w:val="007F2247"/>
    <w:rsid w:val="007F3BD3"/>
    <w:rsid w:val="007F4E4F"/>
    <w:rsid w:val="007F53FC"/>
    <w:rsid w:val="007F685C"/>
    <w:rsid w:val="007F6E1E"/>
    <w:rsid w:val="007F75CB"/>
    <w:rsid w:val="008046AF"/>
    <w:rsid w:val="00813CCC"/>
    <w:rsid w:val="00813DA6"/>
    <w:rsid w:val="00820FB2"/>
    <w:rsid w:val="00827CC3"/>
    <w:rsid w:val="0083453C"/>
    <w:rsid w:val="0084044F"/>
    <w:rsid w:val="00841160"/>
    <w:rsid w:val="00841E0F"/>
    <w:rsid w:val="008460A6"/>
    <w:rsid w:val="008464F8"/>
    <w:rsid w:val="008519C0"/>
    <w:rsid w:val="008535BF"/>
    <w:rsid w:val="008542FA"/>
    <w:rsid w:val="00862DED"/>
    <w:rsid w:val="00864DA3"/>
    <w:rsid w:val="0086501A"/>
    <w:rsid w:val="00870270"/>
    <w:rsid w:val="0087327F"/>
    <w:rsid w:val="0087459F"/>
    <w:rsid w:val="0087479D"/>
    <w:rsid w:val="00875B66"/>
    <w:rsid w:val="008767C6"/>
    <w:rsid w:val="00881DF6"/>
    <w:rsid w:val="00884027"/>
    <w:rsid w:val="00891C0E"/>
    <w:rsid w:val="008929C9"/>
    <w:rsid w:val="00892FD0"/>
    <w:rsid w:val="00893857"/>
    <w:rsid w:val="00895E1B"/>
    <w:rsid w:val="008A65E1"/>
    <w:rsid w:val="008A7037"/>
    <w:rsid w:val="008B4CE8"/>
    <w:rsid w:val="008C01CB"/>
    <w:rsid w:val="008C1BD2"/>
    <w:rsid w:val="008C3751"/>
    <w:rsid w:val="008C397E"/>
    <w:rsid w:val="008C76A4"/>
    <w:rsid w:val="008D1C21"/>
    <w:rsid w:val="008D2859"/>
    <w:rsid w:val="008D5A88"/>
    <w:rsid w:val="008D653D"/>
    <w:rsid w:val="008E235C"/>
    <w:rsid w:val="008F4EB5"/>
    <w:rsid w:val="008F6675"/>
    <w:rsid w:val="009029E8"/>
    <w:rsid w:val="009030D7"/>
    <w:rsid w:val="00903534"/>
    <w:rsid w:val="00913B30"/>
    <w:rsid w:val="00926993"/>
    <w:rsid w:val="00927F31"/>
    <w:rsid w:val="0093340A"/>
    <w:rsid w:val="009341F1"/>
    <w:rsid w:val="009353BB"/>
    <w:rsid w:val="009450BA"/>
    <w:rsid w:val="00953161"/>
    <w:rsid w:val="00955320"/>
    <w:rsid w:val="00955715"/>
    <w:rsid w:val="00960931"/>
    <w:rsid w:val="0096223D"/>
    <w:rsid w:val="00962261"/>
    <w:rsid w:val="00962DF6"/>
    <w:rsid w:val="00977473"/>
    <w:rsid w:val="00984541"/>
    <w:rsid w:val="0098656A"/>
    <w:rsid w:val="00987A72"/>
    <w:rsid w:val="0099027C"/>
    <w:rsid w:val="009915F9"/>
    <w:rsid w:val="00992156"/>
    <w:rsid w:val="00996AEE"/>
    <w:rsid w:val="009A3BA6"/>
    <w:rsid w:val="009A6735"/>
    <w:rsid w:val="009B5823"/>
    <w:rsid w:val="009C0D7A"/>
    <w:rsid w:val="009C150C"/>
    <w:rsid w:val="009C4B67"/>
    <w:rsid w:val="009D7757"/>
    <w:rsid w:val="009E22F5"/>
    <w:rsid w:val="009E454F"/>
    <w:rsid w:val="009E51A8"/>
    <w:rsid w:val="009F25A6"/>
    <w:rsid w:val="009F6EC8"/>
    <w:rsid w:val="009F7B19"/>
    <w:rsid w:val="00A01824"/>
    <w:rsid w:val="00A031F8"/>
    <w:rsid w:val="00A12F6D"/>
    <w:rsid w:val="00A143C6"/>
    <w:rsid w:val="00A27F95"/>
    <w:rsid w:val="00A30DFA"/>
    <w:rsid w:val="00A33038"/>
    <w:rsid w:val="00A36DFF"/>
    <w:rsid w:val="00A43C8C"/>
    <w:rsid w:val="00A4514F"/>
    <w:rsid w:val="00A4682C"/>
    <w:rsid w:val="00A56820"/>
    <w:rsid w:val="00A56DC7"/>
    <w:rsid w:val="00A62B1E"/>
    <w:rsid w:val="00A631FE"/>
    <w:rsid w:val="00A71700"/>
    <w:rsid w:val="00A73700"/>
    <w:rsid w:val="00A7476A"/>
    <w:rsid w:val="00A76C01"/>
    <w:rsid w:val="00A83CB2"/>
    <w:rsid w:val="00A83F99"/>
    <w:rsid w:val="00A8790A"/>
    <w:rsid w:val="00A976BD"/>
    <w:rsid w:val="00AA1EE9"/>
    <w:rsid w:val="00AA475A"/>
    <w:rsid w:val="00AA5171"/>
    <w:rsid w:val="00AB272C"/>
    <w:rsid w:val="00AB363C"/>
    <w:rsid w:val="00AB7152"/>
    <w:rsid w:val="00AC2850"/>
    <w:rsid w:val="00AC55CA"/>
    <w:rsid w:val="00AC706D"/>
    <w:rsid w:val="00AE0EF0"/>
    <w:rsid w:val="00AE3157"/>
    <w:rsid w:val="00AF6C64"/>
    <w:rsid w:val="00B04416"/>
    <w:rsid w:val="00B0457E"/>
    <w:rsid w:val="00B14095"/>
    <w:rsid w:val="00B1616F"/>
    <w:rsid w:val="00B25E28"/>
    <w:rsid w:val="00B43BA9"/>
    <w:rsid w:val="00B443C7"/>
    <w:rsid w:val="00B446BF"/>
    <w:rsid w:val="00B53554"/>
    <w:rsid w:val="00B54707"/>
    <w:rsid w:val="00B56A2F"/>
    <w:rsid w:val="00B63B2F"/>
    <w:rsid w:val="00B67B41"/>
    <w:rsid w:val="00B7205F"/>
    <w:rsid w:val="00B7232F"/>
    <w:rsid w:val="00B72715"/>
    <w:rsid w:val="00B727A8"/>
    <w:rsid w:val="00B73A5D"/>
    <w:rsid w:val="00B83B08"/>
    <w:rsid w:val="00B95CE4"/>
    <w:rsid w:val="00B96F39"/>
    <w:rsid w:val="00B973C7"/>
    <w:rsid w:val="00BA205B"/>
    <w:rsid w:val="00BA2FB9"/>
    <w:rsid w:val="00BB0C85"/>
    <w:rsid w:val="00BB0DA2"/>
    <w:rsid w:val="00BB21EA"/>
    <w:rsid w:val="00BB3507"/>
    <w:rsid w:val="00BB6126"/>
    <w:rsid w:val="00BB776B"/>
    <w:rsid w:val="00BC5211"/>
    <w:rsid w:val="00BC7700"/>
    <w:rsid w:val="00BD261A"/>
    <w:rsid w:val="00BD442C"/>
    <w:rsid w:val="00BE1A90"/>
    <w:rsid w:val="00BE3CC4"/>
    <w:rsid w:val="00BF72F9"/>
    <w:rsid w:val="00BF7548"/>
    <w:rsid w:val="00BF7D91"/>
    <w:rsid w:val="00C00CE3"/>
    <w:rsid w:val="00C02F76"/>
    <w:rsid w:val="00C07D2E"/>
    <w:rsid w:val="00C103FA"/>
    <w:rsid w:val="00C143F8"/>
    <w:rsid w:val="00C153F4"/>
    <w:rsid w:val="00C16429"/>
    <w:rsid w:val="00C170AC"/>
    <w:rsid w:val="00C2354F"/>
    <w:rsid w:val="00C2405B"/>
    <w:rsid w:val="00C2530B"/>
    <w:rsid w:val="00C37588"/>
    <w:rsid w:val="00C42934"/>
    <w:rsid w:val="00C4416D"/>
    <w:rsid w:val="00C54132"/>
    <w:rsid w:val="00C5471D"/>
    <w:rsid w:val="00C60EB2"/>
    <w:rsid w:val="00C858FB"/>
    <w:rsid w:val="00C85C3E"/>
    <w:rsid w:val="00C96594"/>
    <w:rsid w:val="00C966C7"/>
    <w:rsid w:val="00C96B31"/>
    <w:rsid w:val="00CA0AB9"/>
    <w:rsid w:val="00CA1400"/>
    <w:rsid w:val="00CA2978"/>
    <w:rsid w:val="00CA3BFE"/>
    <w:rsid w:val="00CA6A32"/>
    <w:rsid w:val="00CA7A82"/>
    <w:rsid w:val="00CB408D"/>
    <w:rsid w:val="00CB67B8"/>
    <w:rsid w:val="00CC6BCD"/>
    <w:rsid w:val="00CD110E"/>
    <w:rsid w:val="00CD6645"/>
    <w:rsid w:val="00CE3B43"/>
    <w:rsid w:val="00CE699E"/>
    <w:rsid w:val="00CE6BB9"/>
    <w:rsid w:val="00CF3B8F"/>
    <w:rsid w:val="00CF4054"/>
    <w:rsid w:val="00CF71D5"/>
    <w:rsid w:val="00D00471"/>
    <w:rsid w:val="00D00ECF"/>
    <w:rsid w:val="00D03043"/>
    <w:rsid w:val="00D0436B"/>
    <w:rsid w:val="00D15462"/>
    <w:rsid w:val="00D16429"/>
    <w:rsid w:val="00D24B30"/>
    <w:rsid w:val="00D374D0"/>
    <w:rsid w:val="00D37B95"/>
    <w:rsid w:val="00D4390A"/>
    <w:rsid w:val="00D474F8"/>
    <w:rsid w:val="00D5025E"/>
    <w:rsid w:val="00D53BC4"/>
    <w:rsid w:val="00D549D4"/>
    <w:rsid w:val="00D5685E"/>
    <w:rsid w:val="00D61B95"/>
    <w:rsid w:val="00D6665B"/>
    <w:rsid w:val="00D66C59"/>
    <w:rsid w:val="00D671C7"/>
    <w:rsid w:val="00D67F47"/>
    <w:rsid w:val="00D72F88"/>
    <w:rsid w:val="00D77301"/>
    <w:rsid w:val="00D8458E"/>
    <w:rsid w:val="00D84ABC"/>
    <w:rsid w:val="00D872DB"/>
    <w:rsid w:val="00D87CA8"/>
    <w:rsid w:val="00D9420B"/>
    <w:rsid w:val="00DA34F3"/>
    <w:rsid w:val="00DA453F"/>
    <w:rsid w:val="00DA4D2B"/>
    <w:rsid w:val="00DB1B4F"/>
    <w:rsid w:val="00DB4C6C"/>
    <w:rsid w:val="00DB5FAD"/>
    <w:rsid w:val="00DC0774"/>
    <w:rsid w:val="00DC5656"/>
    <w:rsid w:val="00DC7B48"/>
    <w:rsid w:val="00DD401A"/>
    <w:rsid w:val="00DD42AB"/>
    <w:rsid w:val="00DD67B1"/>
    <w:rsid w:val="00DE713C"/>
    <w:rsid w:val="00DF17AE"/>
    <w:rsid w:val="00DF1815"/>
    <w:rsid w:val="00DF37FC"/>
    <w:rsid w:val="00DF709A"/>
    <w:rsid w:val="00DF7149"/>
    <w:rsid w:val="00E01ECD"/>
    <w:rsid w:val="00E0331F"/>
    <w:rsid w:val="00E07271"/>
    <w:rsid w:val="00E11B3F"/>
    <w:rsid w:val="00E14BA0"/>
    <w:rsid w:val="00E16680"/>
    <w:rsid w:val="00E1689F"/>
    <w:rsid w:val="00E20BD6"/>
    <w:rsid w:val="00E211BF"/>
    <w:rsid w:val="00E24621"/>
    <w:rsid w:val="00E27D10"/>
    <w:rsid w:val="00E34FCA"/>
    <w:rsid w:val="00E374CE"/>
    <w:rsid w:val="00E405C5"/>
    <w:rsid w:val="00E41C07"/>
    <w:rsid w:val="00E467C1"/>
    <w:rsid w:val="00E47D88"/>
    <w:rsid w:val="00E505A0"/>
    <w:rsid w:val="00E611A6"/>
    <w:rsid w:val="00E627F2"/>
    <w:rsid w:val="00E6684D"/>
    <w:rsid w:val="00E66C42"/>
    <w:rsid w:val="00E675D7"/>
    <w:rsid w:val="00E75A70"/>
    <w:rsid w:val="00E76B0D"/>
    <w:rsid w:val="00E8661C"/>
    <w:rsid w:val="00E87229"/>
    <w:rsid w:val="00E908FE"/>
    <w:rsid w:val="00E90E46"/>
    <w:rsid w:val="00E9255C"/>
    <w:rsid w:val="00E928C3"/>
    <w:rsid w:val="00E93293"/>
    <w:rsid w:val="00E93453"/>
    <w:rsid w:val="00E9548C"/>
    <w:rsid w:val="00EA005C"/>
    <w:rsid w:val="00EA6194"/>
    <w:rsid w:val="00EA7F95"/>
    <w:rsid w:val="00EC39B1"/>
    <w:rsid w:val="00EC635E"/>
    <w:rsid w:val="00EC6EF7"/>
    <w:rsid w:val="00ED1052"/>
    <w:rsid w:val="00ED50C8"/>
    <w:rsid w:val="00EE3BD6"/>
    <w:rsid w:val="00EF3B87"/>
    <w:rsid w:val="00EF52B2"/>
    <w:rsid w:val="00EF5C1E"/>
    <w:rsid w:val="00EF6746"/>
    <w:rsid w:val="00EF6C38"/>
    <w:rsid w:val="00EF7E66"/>
    <w:rsid w:val="00F011AD"/>
    <w:rsid w:val="00F04DAA"/>
    <w:rsid w:val="00F130A0"/>
    <w:rsid w:val="00F13FDC"/>
    <w:rsid w:val="00F15D41"/>
    <w:rsid w:val="00F16BDD"/>
    <w:rsid w:val="00F16C9D"/>
    <w:rsid w:val="00F215A5"/>
    <w:rsid w:val="00F248C1"/>
    <w:rsid w:val="00F26F3B"/>
    <w:rsid w:val="00F313C4"/>
    <w:rsid w:val="00F33E64"/>
    <w:rsid w:val="00F35D5C"/>
    <w:rsid w:val="00F3688C"/>
    <w:rsid w:val="00F435C6"/>
    <w:rsid w:val="00F45E6D"/>
    <w:rsid w:val="00F50CD9"/>
    <w:rsid w:val="00F51849"/>
    <w:rsid w:val="00F51BBD"/>
    <w:rsid w:val="00F51C8E"/>
    <w:rsid w:val="00F6556A"/>
    <w:rsid w:val="00F75434"/>
    <w:rsid w:val="00F75562"/>
    <w:rsid w:val="00F7672A"/>
    <w:rsid w:val="00F770A3"/>
    <w:rsid w:val="00F81E57"/>
    <w:rsid w:val="00F82189"/>
    <w:rsid w:val="00F96185"/>
    <w:rsid w:val="00FA0217"/>
    <w:rsid w:val="00FA460B"/>
    <w:rsid w:val="00FB2688"/>
    <w:rsid w:val="00FB2C19"/>
    <w:rsid w:val="00FB64AC"/>
    <w:rsid w:val="00FC0FD6"/>
    <w:rsid w:val="00FC134E"/>
    <w:rsid w:val="00FC28D1"/>
    <w:rsid w:val="00FC34DD"/>
    <w:rsid w:val="00FC4226"/>
    <w:rsid w:val="00FD27A0"/>
    <w:rsid w:val="00FE0B62"/>
    <w:rsid w:val="00FE716A"/>
    <w:rsid w:val="00FF3E8B"/>
    <w:rsid w:val="00FF5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01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C01C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C01C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C01C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C01C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C01C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C01C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C01CB"/>
    <w:rPr>
      <w:rFonts w:eastAsiaTheme="majorEastAsia" w:cstheme="majorBidi"/>
      <w:color w:val="272727" w:themeColor="text1" w:themeTint="D8"/>
    </w:rPr>
  </w:style>
  <w:style w:type="paragraph" w:styleId="Tittel">
    <w:name w:val="Title"/>
    <w:basedOn w:val="Normal"/>
    <w:next w:val="Normal"/>
    <w:link w:val="TittelTegn"/>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C01C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C01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01C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C01CB"/>
    <w:rPr>
      <w:i/>
      <w:iCs/>
      <w:color w:val="404040" w:themeColor="text1" w:themeTint="BF"/>
    </w:rPr>
  </w:style>
  <w:style w:type="paragraph" w:styleId="Listeavsnitt">
    <w:name w:val="List Paragraph"/>
    <w:basedOn w:val="Normal"/>
    <w:uiPriority w:val="34"/>
    <w:qFormat/>
    <w:rsid w:val="008C01CB"/>
    <w:pPr>
      <w:ind w:left="720"/>
      <w:contextualSpacing/>
    </w:pPr>
  </w:style>
  <w:style w:type="character" w:styleId="Sterkutheving">
    <w:name w:val="Intense Emphasis"/>
    <w:basedOn w:val="Standardskriftforavsnitt"/>
    <w:uiPriority w:val="21"/>
    <w:qFormat/>
    <w:rsid w:val="008C01CB"/>
    <w:rPr>
      <w:i/>
      <w:iCs/>
      <w:color w:val="0F4761" w:themeColor="accent1" w:themeShade="BF"/>
    </w:rPr>
  </w:style>
  <w:style w:type="paragraph" w:styleId="Sterktsitat">
    <w:name w:val="Intense Quote"/>
    <w:basedOn w:val="Normal"/>
    <w:next w:val="Normal"/>
    <w:link w:val="SterktsitatTegn"/>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C01CB"/>
    <w:rPr>
      <w:i/>
      <w:iCs/>
      <w:color w:val="0F4761" w:themeColor="accent1" w:themeShade="BF"/>
    </w:rPr>
  </w:style>
  <w:style w:type="character" w:styleId="Sterkreferanse">
    <w:name w:val="Intense Reference"/>
    <w:basedOn w:val="Standardskriftforavsnit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lrutenett">
    <w:name w:val="Table Grid"/>
    <w:basedOn w:val="Vanligtabell"/>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625B3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25B3B"/>
    <w:rPr>
      <w:rFonts w:ascii="Segoe UI" w:hAnsi="Segoe UI" w:cs="Segoe UI"/>
      <w:sz w:val="18"/>
      <w:szCs w:val="18"/>
    </w:rPr>
  </w:style>
  <w:style w:type="table" w:customStyle="1" w:styleId="Grigliatabella1">
    <w:name w:val="Griglia tabella1"/>
    <w:basedOn w:val="Vanligtabell"/>
    <w:next w:val="Tabellrutenett"/>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4528C"/>
    <w:rPr>
      <w:sz w:val="16"/>
      <w:szCs w:val="16"/>
    </w:rPr>
  </w:style>
  <w:style w:type="paragraph" w:styleId="Merknadstekst">
    <w:name w:val="annotation text"/>
    <w:basedOn w:val="Normal"/>
    <w:link w:val="MerknadstekstTegn"/>
    <w:uiPriority w:val="99"/>
    <w:unhideWhenUsed/>
    <w:rsid w:val="0044528C"/>
    <w:pPr>
      <w:spacing w:line="240" w:lineRule="auto"/>
    </w:pPr>
    <w:rPr>
      <w:sz w:val="20"/>
      <w:szCs w:val="20"/>
    </w:rPr>
  </w:style>
  <w:style w:type="character" w:customStyle="1" w:styleId="MerknadstekstTegn">
    <w:name w:val="Merknadstekst Tegn"/>
    <w:basedOn w:val="Standardskriftforavsnitt"/>
    <w:link w:val="Merknadstekst"/>
    <w:uiPriority w:val="99"/>
    <w:rsid w:val="0044528C"/>
    <w:rPr>
      <w:sz w:val="20"/>
      <w:szCs w:val="20"/>
    </w:rPr>
  </w:style>
  <w:style w:type="paragraph" w:styleId="Kommentaremne">
    <w:name w:val="annotation subject"/>
    <w:basedOn w:val="Merknadstekst"/>
    <w:next w:val="Merknadstekst"/>
    <w:link w:val="KommentaremneTegn"/>
    <w:uiPriority w:val="99"/>
    <w:semiHidden/>
    <w:unhideWhenUsed/>
    <w:rsid w:val="0044528C"/>
    <w:rPr>
      <w:b/>
      <w:bCs/>
    </w:rPr>
  </w:style>
  <w:style w:type="character" w:customStyle="1" w:styleId="KommentaremneTegn">
    <w:name w:val="Kommentaremne Tegn"/>
    <w:basedOn w:val="MerknadstekstTegn"/>
    <w:link w:val="Kommentaremne"/>
    <w:uiPriority w:val="99"/>
    <w:semiHidden/>
    <w:rsid w:val="0044528C"/>
    <w:rPr>
      <w:b/>
      <w:bCs/>
      <w:sz w:val="20"/>
      <w:szCs w:val="20"/>
    </w:rPr>
  </w:style>
  <w:style w:type="character" w:styleId="Hyperkobling">
    <w:name w:val="Hyperlink"/>
    <w:basedOn w:val="Standardskriftforavsnitt"/>
    <w:uiPriority w:val="99"/>
    <w:unhideWhenUsed/>
    <w:rsid w:val="00542C18"/>
    <w:rPr>
      <w:color w:val="467886" w:themeColor="hyperlink"/>
      <w:u w:val="single"/>
    </w:rPr>
  </w:style>
  <w:style w:type="character" w:styleId="Ulstomtale">
    <w:name w:val="Unresolved Mention"/>
    <w:basedOn w:val="Standardskriftforavsnitt"/>
    <w:uiPriority w:val="99"/>
    <w:semiHidden/>
    <w:unhideWhenUsed/>
    <w:rsid w:val="00542C18"/>
    <w:rPr>
      <w:color w:val="605E5C"/>
      <w:shd w:val="clear" w:color="auto" w:fill="E1DFDD"/>
    </w:rPr>
  </w:style>
  <w:style w:type="paragraph" w:styleId="Fotnotetekst">
    <w:name w:val="footnote text"/>
    <w:basedOn w:val="Normal"/>
    <w:link w:val="FotnotetekstTegn"/>
    <w:uiPriority w:val="99"/>
    <w:semiHidden/>
    <w:unhideWhenUsed/>
    <w:rsid w:val="00BB776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776B"/>
    <w:rPr>
      <w:sz w:val="20"/>
      <w:szCs w:val="20"/>
    </w:rPr>
  </w:style>
  <w:style w:type="character" w:styleId="Fotnotereferanse">
    <w:name w:val="footnote reference"/>
    <w:basedOn w:val="Standardskriftforavsnitt"/>
    <w:uiPriority w:val="99"/>
    <w:semiHidden/>
    <w:unhideWhenUsed/>
    <w:rsid w:val="00BB7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774210" TargetMode="External"/><Relationship Id="rId2" Type="http://schemas.openxmlformats.org/officeDocument/2006/relationships/hyperlink" Target="https://www.preventncd.eu/" TargetMode="External"/><Relationship Id="rId1" Type="http://schemas.openxmlformats.org/officeDocument/2006/relationships/hyperlink" Target="https://www.gov.uk/government/publications/health-equity-assessment-tool-hea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3.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3B68D5-6D91-4F68-BA35-6FF2ADFF6527}">
  <ds:schemaRefs>
    <ds:schemaRef ds:uri="http://schemas.microsoft.com/sharepoint/v3/contenttype/forms"/>
  </ds:schemaRefs>
</ds:datastoreItem>
</file>

<file path=docMetadata/LabelInfo.xml><?xml version="1.0" encoding="utf-8"?>
<clbl:labelList xmlns:clbl="http://schemas.microsoft.com/office/2020/mipLabelMetadata">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2219</Words>
  <Characters>11765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Arnfinn Helleve</cp:lastModifiedBy>
  <cp:revision>49</cp:revision>
  <cp:lastPrinted>2025-06-30T08:00:00Z</cp:lastPrinted>
  <dcterms:created xsi:type="dcterms:W3CDTF">2026-03-31T06:14:00Z</dcterms:created>
  <dcterms:modified xsi:type="dcterms:W3CDTF">2026-03-31T07:13:00Z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