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2552"/>
        <w:gridCol w:w="2595"/>
        <w:gridCol w:w="2000"/>
        <w:gridCol w:w="2634"/>
      </w:tblGrid>
      <w:tr w:rsidR="00F32997" w:rsidRPr="00FC7BCF" w14:paraId="07830384" w14:textId="77777777" w:rsidTr="008B730E">
        <w:trPr>
          <w:trHeight w:val="333"/>
        </w:trPr>
        <w:tc>
          <w:tcPr>
            <w:tcW w:w="2552"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80" w:type="dxa"/>
              <w:left w:w="120" w:type="dxa"/>
              <w:bottom w:w="80" w:type="dxa"/>
              <w:right w:w="120" w:type="dxa"/>
            </w:tcMar>
          </w:tcPr>
          <w:p w14:paraId="6A2C56C0" w14:textId="77777777" w:rsidR="00F32997" w:rsidRPr="00FC7BCF" w:rsidRDefault="00000000">
            <w:pPr>
              <w:spacing w:before="60" w:after="60"/>
              <w:rPr>
                <w:lang w:val="en-GB"/>
              </w:rPr>
            </w:pPr>
            <w:r w:rsidRPr="00FC7BCF">
              <w:rPr>
                <w:b/>
                <w:bCs/>
                <w:lang w:val="en-GB"/>
              </w:rPr>
              <w:t>Work package number</w:t>
            </w:r>
          </w:p>
        </w:tc>
        <w:tc>
          <w:tcPr>
            <w:tcW w:w="2595"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80" w:type="dxa"/>
              <w:left w:w="120" w:type="dxa"/>
              <w:bottom w:w="80" w:type="dxa"/>
              <w:right w:w="120" w:type="dxa"/>
            </w:tcMar>
          </w:tcPr>
          <w:p w14:paraId="4208E203" w14:textId="77777777" w:rsidR="00F32997" w:rsidRPr="00FC7BCF" w:rsidRDefault="00000000">
            <w:pPr>
              <w:spacing w:before="60" w:after="60"/>
              <w:rPr>
                <w:lang w:val="en-GB"/>
              </w:rPr>
            </w:pPr>
            <w:r w:rsidRPr="00FC7BCF">
              <w:rPr>
                <w:lang w:val="en-GB"/>
              </w:rPr>
              <w:t>5</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80" w:type="dxa"/>
              <w:left w:w="120" w:type="dxa"/>
              <w:bottom w:w="80" w:type="dxa"/>
              <w:right w:w="120" w:type="dxa"/>
            </w:tcMar>
          </w:tcPr>
          <w:p w14:paraId="69D353E5" w14:textId="77777777" w:rsidR="00F32997" w:rsidRPr="00FC7BCF" w:rsidRDefault="00000000">
            <w:pPr>
              <w:spacing w:before="60" w:after="60"/>
              <w:rPr>
                <w:lang w:val="en-GB"/>
              </w:rPr>
            </w:pPr>
            <w:r w:rsidRPr="00FC7BCF">
              <w:rPr>
                <w:b/>
                <w:bCs/>
                <w:lang w:val="en-GB"/>
              </w:rPr>
              <w:t>WP leader</w:t>
            </w:r>
          </w:p>
        </w:tc>
        <w:tc>
          <w:tcPr>
            <w:tcW w:w="263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80" w:type="dxa"/>
              <w:left w:w="120" w:type="dxa"/>
              <w:bottom w:w="80" w:type="dxa"/>
              <w:right w:w="120" w:type="dxa"/>
            </w:tcMar>
          </w:tcPr>
          <w:p w14:paraId="6B466AFB" w14:textId="77777777" w:rsidR="00F32997" w:rsidRPr="00FC7BCF" w:rsidRDefault="00000000">
            <w:pPr>
              <w:spacing w:before="60" w:after="60"/>
              <w:rPr>
                <w:lang w:val="en-GB"/>
              </w:rPr>
            </w:pPr>
            <w:r w:rsidRPr="00FC7BCF">
              <w:rPr>
                <w:lang w:val="en-GB"/>
              </w:rPr>
              <w:t>University of Cologne</w:t>
            </w:r>
          </w:p>
        </w:tc>
      </w:tr>
      <w:tr w:rsidR="00F32997" w:rsidRPr="00FC7BCF" w14:paraId="25824926" w14:textId="77777777" w:rsidTr="008B730E">
        <w:tc>
          <w:tcPr>
            <w:tcW w:w="9781" w:type="dxa"/>
            <w:gridSpan w:val="4"/>
            <w:tcBorders>
              <w:top w:val="single" w:sz="4" w:space="0" w:color="AAAAAA"/>
              <w:left w:val="single" w:sz="4" w:space="0" w:color="AAAAAA"/>
              <w:bottom w:val="single" w:sz="4" w:space="0" w:color="AAAAAA"/>
              <w:right w:val="single" w:sz="4" w:space="0" w:color="AAAAAA"/>
            </w:tcBorders>
            <w:shd w:val="clear" w:color="auto" w:fill="FFFFFF" w:themeFill="background1"/>
            <w:tcMar>
              <w:top w:w="80" w:type="dxa"/>
              <w:left w:w="120" w:type="dxa"/>
              <w:bottom w:w="80" w:type="dxa"/>
              <w:right w:w="120" w:type="dxa"/>
            </w:tcMar>
          </w:tcPr>
          <w:p w14:paraId="482A9AD2" w14:textId="7535D30B" w:rsidR="00F32997" w:rsidRPr="00FC7BCF" w:rsidRDefault="00000000">
            <w:pPr>
              <w:spacing w:before="60" w:after="60"/>
              <w:rPr>
                <w:lang w:val="en-GB"/>
              </w:rPr>
            </w:pPr>
            <w:r w:rsidRPr="00FC7BCF">
              <w:rPr>
                <w:b/>
                <w:bCs/>
                <w:lang w:val="en-GB"/>
              </w:rPr>
              <w:t>Work package title</w:t>
            </w:r>
            <w:r w:rsidR="0009120D" w:rsidRPr="00FC7BCF">
              <w:rPr>
                <w:b/>
                <w:bCs/>
                <w:lang w:val="en-GB"/>
              </w:rPr>
              <w:t>:</w:t>
            </w:r>
            <w:r w:rsidRPr="00FC7BCF">
              <w:rPr>
                <w:lang w:val="en-GB"/>
              </w:rPr>
              <w:t xml:space="preserve"> Multi-component intervention 2, Co-creation and planning: higher education and early adulthood (age 19–25)</w:t>
            </w:r>
          </w:p>
        </w:tc>
      </w:tr>
      <w:tr w:rsidR="00F32997" w:rsidRPr="00FC7BCF" w14:paraId="1479C9D2" w14:textId="77777777" w:rsidTr="008B730E">
        <w:tc>
          <w:tcPr>
            <w:tcW w:w="9781" w:type="dxa"/>
            <w:gridSpan w:val="4"/>
            <w:tcBorders>
              <w:top w:val="single" w:sz="4" w:space="0" w:color="AAAAAA"/>
              <w:left w:val="single" w:sz="4" w:space="0" w:color="AAAAAA"/>
              <w:bottom w:val="single" w:sz="4" w:space="0" w:color="AAAAAA"/>
              <w:right w:val="single" w:sz="4" w:space="0" w:color="AAAAAA"/>
            </w:tcBorders>
            <w:shd w:val="clear" w:color="auto" w:fill="FFFFFF" w:themeFill="background1"/>
            <w:tcMar>
              <w:top w:w="80" w:type="dxa"/>
              <w:left w:w="120" w:type="dxa"/>
              <w:bottom w:w="80" w:type="dxa"/>
              <w:right w:w="120" w:type="dxa"/>
            </w:tcMar>
          </w:tcPr>
          <w:p w14:paraId="4B751E75" w14:textId="279F2CC5" w:rsidR="00F32997" w:rsidRPr="00FC7BCF" w:rsidRDefault="00000000" w:rsidP="00884CCE">
            <w:pPr>
              <w:spacing w:before="60" w:after="60"/>
              <w:rPr>
                <w:lang w:val="en-GB"/>
              </w:rPr>
            </w:pPr>
            <w:r w:rsidRPr="00FC7BCF">
              <w:rPr>
                <w:b/>
                <w:bCs/>
                <w:lang w:val="en-GB"/>
              </w:rPr>
              <w:t>Objectives</w:t>
            </w:r>
          </w:p>
          <w:p w14:paraId="49FF73F0" w14:textId="3A6199B8" w:rsidR="00FF73B6" w:rsidRPr="00FC7BCF" w:rsidRDefault="00000000" w:rsidP="00FF73B6">
            <w:pPr>
              <w:spacing w:before="60" w:after="60"/>
              <w:rPr>
                <w:lang w:val="en-GB"/>
              </w:rPr>
            </w:pPr>
            <w:r w:rsidRPr="00FC7BCF">
              <w:rPr>
                <w:b/>
                <w:bCs/>
                <w:lang w:val="en-GB"/>
              </w:rPr>
              <w:t xml:space="preserve">O5.1: </w:t>
            </w:r>
            <w:r w:rsidRPr="00FC7BCF">
              <w:rPr>
                <w:lang w:val="en-GB"/>
              </w:rPr>
              <w:t>Identify, select and adapt multi-component interventions targeting obesity, mental health diseases and addictions for young adults aged 19</w:t>
            </w:r>
            <w:r w:rsidR="00884CCE" w:rsidRPr="00FC7BCF">
              <w:rPr>
                <w:lang w:val="en-GB"/>
              </w:rPr>
              <w:t xml:space="preserve"> to </w:t>
            </w:r>
            <w:r w:rsidRPr="00FC7BCF">
              <w:rPr>
                <w:lang w:val="en-GB"/>
              </w:rPr>
              <w:t>25</w:t>
            </w:r>
            <w:r w:rsidR="00FF73B6" w:rsidRPr="00FC7BCF">
              <w:rPr>
                <w:lang w:val="en-GB"/>
              </w:rPr>
              <w:t xml:space="preserve"> accounting for individual </w:t>
            </w:r>
            <w:r w:rsidR="00774678" w:rsidRPr="00FC7BCF">
              <w:rPr>
                <w:lang w:val="en-GB"/>
              </w:rPr>
              <w:t>characteristics</w:t>
            </w:r>
          </w:p>
          <w:p w14:paraId="632EC649" w14:textId="217CDCDD" w:rsidR="00F32997" w:rsidRPr="00FC7BCF" w:rsidRDefault="00000000" w:rsidP="00FF73B6">
            <w:pPr>
              <w:spacing w:before="60" w:after="60"/>
              <w:rPr>
                <w:lang w:val="en-GB"/>
              </w:rPr>
            </w:pPr>
            <w:r w:rsidRPr="00FC7BCF">
              <w:rPr>
                <w:b/>
                <w:bCs/>
                <w:lang w:val="en-GB"/>
              </w:rPr>
              <w:t xml:space="preserve">O5.2: </w:t>
            </w:r>
            <w:r w:rsidRPr="00FC7BCF">
              <w:rPr>
                <w:lang w:val="en-GB"/>
              </w:rPr>
              <w:t>Explore to what extent meaningful young adult involvement and co-creative processes with educators, health professionals</w:t>
            </w:r>
            <w:r w:rsidR="00884CCE" w:rsidRPr="00FC7BCF">
              <w:rPr>
                <w:lang w:val="en-GB"/>
              </w:rPr>
              <w:t>,</w:t>
            </w:r>
            <w:r w:rsidRPr="00FC7BCF">
              <w:rPr>
                <w:lang w:val="en-GB"/>
              </w:rPr>
              <w:t xml:space="preserve"> and</w:t>
            </w:r>
            <w:r w:rsidR="00884CCE" w:rsidRPr="00FC7BCF">
              <w:rPr>
                <w:lang w:val="en-GB"/>
              </w:rPr>
              <w:t xml:space="preserve"> </w:t>
            </w:r>
            <w:r w:rsidRPr="00FC7BCF">
              <w:rPr>
                <w:lang w:val="en-GB"/>
              </w:rPr>
              <w:t>community partners influence the implementation of interventions</w:t>
            </w:r>
          </w:p>
        </w:tc>
      </w:tr>
      <w:tr w:rsidR="00F32997" w:rsidRPr="00FC7BCF" w14:paraId="21F38F80" w14:textId="77777777" w:rsidTr="008B730E">
        <w:tc>
          <w:tcPr>
            <w:tcW w:w="9781" w:type="dxa"/>
            <w:gridSpan w:val="4"/>
            <w:tcBorders>
              <w:top w:val="single" w:sz="4" w:space="0" w:color="AAAAAA"/>
              <w:left w:val="single" w:sz="4" w:space="0" w:color="AAAAAA"/>
              <w:bottom w:val="single" w:sz="4" w:space="0" w:color="AAAAAA"/>
              <w:right w:val="single" w:sz="4" w:space="0" w:color="AAAAAA"/>
            </w:tcBorders>
            <w:shd w:val="clear" w:color="auto" w:fill="FFFFFF" w:themeFill="background1"/>
            <w:tcMar>
              <w:top w:w="80" w:type="dxa"/>
              <w:left w:w="120" w:type="dxa"/>
              <w:bottom w:w="80" w:type="dxa"/>
              <w:right w:w="120" w:type="dxa"/>
            </w:tcMar>
          </w:tcPr>
          <w:p w14:paraId="3C3A21CF" w14:textId="77777777" w:rsidR="00C54506" w:rsidRPr="00FC7BCF" w:rsidRDefault="00000000" w:rsidP="002D251D">
            <w:pPr>
              <w:spacing w:before="60" w:after="60"/>
              <w:jc w:val="both"/>
              <w:rPr>
                <w:b/>
                <w:bCs/>
                <w:lang w:val="en-GB"/>
              </w:rPr>
            </w:pPr>
            <w:r w:rsidRPr="00FC7BCF">
              <w:rPr>
                <w:b/>
                <w:bCs/>
                <w:lang w:val="en-GB"/>
              </w:rPr>
              <w:t>Description of work</w:t>
            </w:r>
            <w:r w:rsidR="00C54506" w:rsidRPr="00FC7BCF">
              <w:rPr>
                <w:b/>
                <w:bCs/>
                <w:lang w:val="en-GB"/>
              </w:rPr>
              <w:t xml:space="preserve"> </w:t>
            </w:r>
          </w:p>
          <w:p w14:paraId="4FC52758" w14:textId="155014C9" w:rsidR="00884CCE" w:rsidRPr="00CB503C" w:rsidRDefault="00884CCE" w:rsidP="002D251D">
            <w:pPr>
              <w:spacing w:before="60" w:after="60"/>
              <w:jc w:val="both"/>
              <w:rPr>
                <w:b/>
                <w:bCs/>
                <w:i/>
                <w:iCs/>
                <w:lang w:val="en-GB"/>
              </w:rPr>
            </w:pPr>
            <w:r w:rsidRPr="00CB503C">
              <w:rPr>
                <w:i/>
                <w:iCs/>
                <w:lang w:val="en-GB"/>
              </w:rPr>
              <w:t xml:space="preserve">The tasks </w:t>
            </w:r>
            <w:r w:rsidR="00201860" w:rsidRPr="00CB503C">
              <w:rPr>
                <w:i/>
                <w:iCs/>
                <w:lang w:val="en-GB"/>
              </w:rPr>
              <w:t xml:space="preserve">T5.1 and T.5.2 </w:t>
            </w:r>
            <w:r w:rsidR="00D72EE2" w:rsidRPr="00CB503C">
              <w:rPr>
                <w:i/>
                <w:iCs/>
                <w:lang w:val="en-GB"/>
              </w:rPr>
              <w:t>of</w:t>
            </w:r>
            <w:r w:rsidRPr="00CB503C">
              <w:rPr>
                <w:i/>
                <w:iCs/>
                <w:lang w:val="en-GB"/>
              </w:rPr>
              <w:t xml:space="preserve"> </w:t>
            </w:r>
            <w:r w:rsidR="00D72EE2" w:rsidRPr="00CB503C">
              <w:rPr>
                <w:i/>
                <w:iCs/>
                <w:lang w:val="en-GB"/>
              </w:rPr>
              <w:t>W</w:t>
            </w:r>
            <w:r w:rsidRPr="00CB503C">
              <w:rPr>
                <w:i/>
                <w:iCs/>
                <w:lang w:val="en-GB"/>
              </w:rPr>
              <w:t>ork package 5</w:t>
            </w:r>
            <w:r w:rsidR="00D72EE2" w:rsidRPr="00CB503C">
              <w:rPr>
                <w:i/>
                <w:iCs/>
                <w:lang w:val="en-GB"/>
              </w:rPr>
              <w:t xml:space="preserve"> </w:t>
            </w:r>
            <w:r w:rsidR="00201860" w:rsidRPr="00CB503C">
              <w:rPr>
                <w:i/>
                <w:iCs/>
                <w:lang w:val="en-GB"/>
              </w:rPr>
              <w:t>are analogous</w:t>
            </w:r>
            <w:r w:rsidR="00D72EE2" w:rsidRPr="00CB503C">
              <w:rPr>
                <w:i/>
                <w:iCs/>
                <w:lang w:val="en-GB"/>
              </w:rPr>
              <w:t xml:space="preserve"> </w:t>
            </w:r>
            <w:r w:rsidR="00C54506" w:rsidRPr="00CB503C">
              <w:rPr>
                <w:i/>
                <w:iCs/>
                <w:lang w:val="en-GB"/>
              </w:rPr>
              <w:t xml:space="preserve">to </w:t>
            </w:r>
            <w:r w:rsidR="00D72EE2" w:rsidRPr="00CB503C">
              <w:rPr>
                <w:i/>
                <w:iCs/>
                <w:lang w:val="en-GB"/>
              </w:rPr>
              <w:t>Work</w:t>
            </w:r>
            <w:r w:rsidRPr="00CB503C">
              <w:rPr>
                <w:i/>
                <w:iCs/>
                <w:lang w:val="en-GB"/>
              </w:rPr>
              <w:t xml:space="preserve"> package 4</w:t>
            </w:r>
            <w:r w:rsidR="00C54506" w:rsidRPr="00CB503C">
              <w:rPr>
                <w:i/>
                <w:iCs/>
                <w:lang w:val="en-GB"/>
              </w:rPr>
              <w:t xml:space="preserve"> and closely follow its approach</w:t>
            </w:r>
            <w:r w:rsidRPr="00CB503C">
              <w:rPr>
                <w:i/>
                <w:iCs/>
                <w:lang w:val="en-GB"/>
              </w:rPr>
              <w:t>.</w:t>
            </w:r>
          </w:p>
          <w:p w14:paraId="32C4DADC" w14:textId="61348AA8" w:rsidR="00F32997" w:rsidRPr="00FC7BCF" w:rsidRDefault="00000000" w:rsidP="002D251D">
            <w:pPr>
              <w:spacing w:before="60" w:after="60"/>
              <w:jc w:val="both"/>
              <w:rPr>
                <w:lang w:val="en-GB"/>
              </w:rPr>
            </w:pPr>
            <w:r w:rsidRPr="00FC7BCF">
              <w:rPr>
                <w:b/>
                <w:bCs/>
                <w:lang w:val="en-GB"/>
              </w:rPr>
              <w:t>T5.1 Identification and selection of evidence-based intervention elements (</w:t>
            </w:r>
            <w:r w:rsidR="00AD78B2" w:rsidRPr="00FC7BCF">
              <w:rPr>
                <w:b/>
                <w:bCs/>
                <w:lang w:val="en-GB"/>
              </w:rPr>
              <w:t xml:space="preserve">University of Cologne, </w:t>
            </w:r>
            <w:r w:rsidR="002E23B7" w:rsidRPr="00FC7BCF">
              <w:rPr>
                <w:b/>
                <w:bCs/>
                <w:lang w:val="en-GB"/>
              </w:rPr>
              <w:t>UoC</w:t>
            </w:r>
            <w:r w:rsidRPr="00FC7BCF">
              <w:rPr>
                <w:b/>
                <w:bCs/>
                <w:lang w:val="en-GB"/>
              </w:rPr>
              <w:t xml:space="preserve">). </w:t>
            </w:r>
            <w:r w:rsidRPr="00FC7BCF">
              <w:rPr>
                <w:lang w:val="en-GB"/>
              </w:rPr>
              <w:t>Z-HEALTH will implement multi-component interventions targeting young adults aged 19</w:t>
            </w:r>
            <w:r w:rsidR="00201860" w:rsidRPr="00FC7BCF">
              <w:rPr>
                <w:lang w:val="en-GB"/>
              </w:rPr>
              <w:t xml:space="preserve"> to </w:t>
            </w:r>
            <w:r w:rsidRPr="00FC7BCF">
              <w:rPr>
                <w:lang w:val="en-GB"/>
              </w:rPr>
              <w:t xml:space="preserve">25 across three domains: (i) health and digital literacy; (ii) device-assisted monitoring and feedback; and (iii) health-promoting environments and </w:t>
            </w:r>
            <w:r w:rsidR="00D72EE2" w:rsidRPr="00FC7BCF">
              <w:rPr>
                <w:lang w:val="en-GB"/>
              </w:rPr>
              <w:t>behavioural</w:t>
            </w:r>
            <w:r w:rsidR="00F17DFB" w:rsidRPr="00FC7BCF">
              <w:rPr>
                <w:lang w:val="en-GB"/>
              </w:rPr>
              <w:t xml:space="preserve"> </w:t>
            </w:r>
            <w:r w:rsidR="00884CCE" w:rsidRPr="00FC7BCF">
              <w:rPr>
                <w:lang w:val="en-GB"/>
              </w:rPr>
              <w:t>economic nudges</w:t>
            </w:r>
            <w:r w:rsidRPr="00FC7BCF">
              <w:rPr>
                <w:lang w:val="en-GB"/>
              </w:rPr>
              <w:t xml:space="preserve">. A </w:t>
            </w:r>
            <w:r w:rsidR="00884CCE" w:rsidRPr="00FC7BCF">
              <w:rPr>
                <w:lang w:val="en-GB"/>
              </w:rPr>
              <w:t xml:space="preserve">systematic </w:t>
            </w:r>
            <w:r w:rsidRPr="00FC7BCF">
              <w:rPr>
                <w:lang w:val="en-GB"/>
              </w:rPr>
              <w:t>review of</w:t>
            </w:r>
            <w:r w:rsidR="00884CCE" w:rsidRPr="00FC7BCF">
              <w:rPr>
                <w:lang w:val="en-GB"/>
              </w:rPr>
              <w:t xml:space="preserve"> </w:t>
            </w:r>
            <w:r w:rsidR="00D72EE2" w:rsidRPr="00FC7BCF">
              <w:rPr>
                <w:lang w:val="en-GB"/>
              </w:rPr>
              <w:t>behavioural</w:t>
            </w:r>
            <w:r w:rsidR="00884CCE" w:rsidRPr="00FC7BCF">
              <w:rPr>
                <w:lang w:val="en-GB"/>
              </w:rPr>
              <w:t>-economics informed interventions</w:t>
            </w:r>
            <w:r w:rsidRPr="00FC7BCF">
              <w:rPr>
                <w:lang w:val="en-GB"/>
              </w:rPr>
              <w:t xml:space="preserve"> addressing the three target areas will be conducted using scientific and grey literature. Interventions will be appraised for </w:t>
            </w:r>
            <w:r w:rsidR="00D72EE2" w:rsidRPr="00FC7BCF">
              <w:rPr>
                <w:lang w:val="en-GB"/>
              </w:rPr>
              <w:t xml:space="preserve">their </w:t>
            </w:r>
            <w:r w:rsidRPr="00FC7BCF">
              <w:rPr>
                <w:lang w:val="en-GB"/>
              </w:rPr>
              <w:t>effectiveness, quality and certainty of evidence, and relevance across the G1</w:t>
            </w:r>
            <w:r w:rsidR="00D72EE2" w:rsidRPr="00FC7BCF">
              <w:rPr>
                <w:lang w:val="en-GB"/>
              </w:rPr>
              <w:t>-</w:t>
            </w:r>
            <w:r w:rsidRPr="00FC7BCF">
              <w:rPr>
                <w:lang w:val="en-GB"/>
              </w:rPr>
              <w:t xml:space="preserve">G4 framework, with </w:t>
            </w:r>
            <w:r w:rsidR="00D72EE2" w:rsidRPr="00FC7BCF">
              <w:rPr>
                <w:lang w:val="en-GB"/>
              </w:rPr>
              <w:t>a strong focus on</w:t>
            </w:r>
            <w:r w:rsidRPr="00FC7BCF">
              <w:rPr>
                <w:lang w:val="en-GB"/>
              </w:rPr>
              <w:t xml:space="preserve"> </w:t>
            </w:r>
            <w:r w:rsidR="007828B5" w:rsidRPr="00FC7BCF">
              <w:rPr>
                <w:lang w:val="en-GB"/>
              </w:rPr>
              <w:t xml:space="preserve">methodological rigour, </w:t>
            </w:r>
            <w:r w:rsidRPr="00FC7BCF">
              <w:rPr>
                <w:lang w:val="en-GB"/>
              </w:rPr>
              <w:t xml:space="preserve">scalability, </w:t>
            </w:r>
            <w:r w:rsidR="007828B5" w:rsidRPr="00FC7BCF">
              <w:rPr>
                <w:lang w:val="en-GB"/>
              </w:rPr>
              <w:t xml:space="preserve">and </w:t>
            </w:r>
            <w:r w:rsidRPr="00FC7BCF">
              <w:rPr>
                <w:lang w:val="en-GB"/>
              </w:rPr>
              <w:t>contextual adaptability</w:t>
            </w:r>
            <w:r w:rsidR="007828B5" w:rsidRPr="00FC7BCF">
              <w:rPr>
                <w:lang w:val="en-GB"/>
              </w:rPr>
              <w:t xml:space="preserve"> while considering their</w:t>
            </w:r>
            <w:r w:rsidRPr="00FC7BCF">
              <w:rPr>
                <w:lang w:val="en-GB"/>
              </w:rPr>
              <w:t xml:space="preserve"> potential to reduce social inequalities</w:t>
            </w:r>
            <w:r w:rsidR="00D72EE2" w:rsidRPr="00FC7BCF">
              <w:rPr>
                <w:lang w:val="en-GB"/>
              </w:rPr>
              <w:t xml:space="preserve"> </w:t>
            </w:r>
            <w:r w:rsidR="002E23B7" w:rsidRPr="00FC7BCF">
              <w:rPr>
                <w:lang w:val="en-GB"/>
              </w:rPr>
              <w:t>among young adults</w:t>
            </w:r>
            <w:r w:rsidRPr="00FC7BCF">
              <w:rPr>
                <w:lang w:val="en-GB"/>
              </w:rPr>
              <w:t>.</w:t>
            </w:r>
          </w:p>
          <w:p w14:paraId="1D76171D" w14:textId="16B11350" w:rsidR="00F32997" w:rsidRPr="00FC7BCF" w:rsidRDefault="00000000" w:rsidP="002D251D">
            <w:pPr>
              <w:spacing w:before="60" w:after="60"/>
              <w:jc w:val="both"/>
              <w:rPr>
                <w:lang w:val="en-GB"/>
              </w:rPr>
            </w:pPr>
            <w:r w:rsidRPr="00FC7BCF">
              <w:rPr>
                <w:b/>
                <w:bCs/>
                <w:lang w:val="en-GB"/>
              </w:rPr>
              <w:t>T5.2 Co-creation and involvement process at intervention sites</w:t>
            </w:r>
            <w:r w:rsidR="002E23B7" w:rsidRPr="00FC7BCF">
              <w:rPr>
                <w:b/>
                <w:bCs/>
                <w:lang w:val="en-GB"/>
              </w:rPr>
              <w:t xml:space="preserve"> (UoC)</w:t>
            </w:r>
            <w:r w:rsidRPr="00FC7BCF">
              <w:rPr>
                <w:b/>
                <w:bCs/>
                <w:lang w:val="en-GB"/>
              </w:rPr>
              <w:t xml:space="preserve">. </w:t>
            </w:r>
            <w:r w:rsidRPr="00FC7BCF">
              <w:rPr>
                <w:lang w:val="en-GB"/>
              </w:rPr>
              <w:t xml:space="preserve">Young adults will be actively involved across all intervention packages to ensure relevance of content and delivery. In each country, Group Model Building sessions will be conducted with young adults, university </w:t>
            </w:r>
            <w:r w:rsidR="002E23B7" w:rsidRPr="00FC7BCF">
              <w:rPr>
                <w:lang w:val="en-GB"/>
              </w:rPr>
              <w:t xml:space="preserve">and </w:t>
            </w:r>
            <w:r w:rsidR="00372CA8" w:rsidRPr="00FC7BCF">
              <w:rPr>
                <w:lang w:val="en-GB"/>
              </w:rPr>
              <w:t>vocational school</w:t>
            </w:r>
            <w:r w:rsidR="002E23B7" w:rsidRPr="00FC7BCF">
              <w:rPr>
                <w:lang w:val="en-GB"/>
              </w:rPr>
              <w:t xml:space="preserve"> </w:t>
            </w:r>
            <w:r w:rsidRPr="00FC7BCF">
              <w:rPr>
                <w:lang w:val="en-GB"/>
              </w:rPr>
              <w:t>educators, community health professionals, and peer representatives, recruited via higher education and youth networks to ensure diversity and gender balance. These sessions will generate shared models of NCD risk behaviours and inform intervention adaptation. Given limited evidence on young adult involvement in health intervention design, participants' experiences of co-creation will be systematically documented.</w:t>
            </w:r>
          </w:p>
          <w:p w14:paraId="714F548B" w14:textId="02FD93F3" w:rsidR="00F32997" w:rsidRPr="00FC7BCF" w:rsidRDefault="00000000" w:rsidP="002D251D">
            <w:pPr>
              <w:spacing w:before="60" w:after="60"/>
              <w:jc w:val="both"/>
              <w:rPr>
                <w:lang w:val="en-GB"/>
              </w:rPr>
            </w:pPr>
            <w:r w:rsidRPr="00FC7BCF">
              <w:rPr>
                <w:b/>
                <w:bCs/>
                <w:lang w:val="en-GB"/>
              </w:rPr>
              <w:t>T5.3 Developing intervention packages and implementation plans (</w:t>
            </w:r>
            <w:r w:rsidR="00AD78B2" w:rsidRPr="00FC7BCF">
              <w:rPr>
                <w:b/>
                <w:bCs/>
                <w:lang w:val="en-GB"/>
              </w:rPr>
              <w:t>UoC</w:t>
            </w:r>
            <w:r w:rsidRPr="00FC7BCF">
              <w:rPr>
                <w:b/>
                <w:bCs/>
                <w:lang w:val="en-GB"/>
              </w:rPr>
              <w:t xml:space="preserve">, ICL, NYU, EHN, NIJZ). </w:t>
            </w:r>
            <w:r w:rsidR="009D6FF3" w:rsidRPr="00FC7BCF">
              <w:rPr>
                <w:lang w:val="en-GB"/>
              </w:rPr>
              <w:t>Building on the co-creation process in T5.2, each intervention package will be grounded in an explicit theory of change, drawing on behavioural and systems science frameworks suited to the contexts of higher education and early working life. Packages will be iteratively refined and shaped by site-specific needs assessments to ensure contextual relevance, cultural appropriateness, and fit with the routines and preferences of this age group. A dedicated implementation plan will be developed for each of the three intervention domains (tasks 5.3.1</w:t>
            </w:r>
            <w:r w:rsidR="00D51CCD" w:rsidRPr="00FC7BCF">
              <w:rPr>
                <w:lang w:val="en-GB"/>
              </w:rPr>
              <w:t xml:space="preserve"> to </w:t>
            </w:r>
            <w:r w:rsidR="009D6FF3" w:rsidRPr="00FC7BCF">
              <w:rPr>
                <w:lang w:val="en-GB"/>
              </w:rPr>
              <w:t>5.3.3 below).</w:t>
            </w:r>
          </w:p>
          <w:p w14:paraId="5E19E3AA" w14:textId="3B3FE9A6" w:rsidR="002E23B7" w:rsidRPr="00FC7BCF" w:rsidRDefault="00000000" w:rsidP="002D251D">
            <w:pPr>
              <w:spacing w:before="60" w:after="60"/>
              <w:jc w:val="both"/>
              <w:rPr>
                <w:lang w:val="en-GB"/>
              </w:rPr>
            </w:pPr>
            <w:r w:rsidRPr="00FC7BCF">
              <w:rPr>
                <w:u w:val="single"/>
                <w:lang w:val="en-GB"/>
              </w:rPr>
              <w:t xml:space="preserve">T5.3.1 The health and digital literacy intervention (ICL, </w:t>
            </w:r>
            <w:r w:rsidR="00BF46CA" w:rsidRPr="00FC7BCF">
              <w:rPr>
                <w:u w:val="single"/>
                <w:lang w:val="en-GB"/>
              </w:rPr>
              <w:t>UoC</w:t>
            </w:r>
            <w:r w:rsidRPr="00FC7BCF">
              <w:rPr>
                <w:u w:val="single"/>
                <w:lang w:val="en-GB"/>
              </w:rPr>
              <w:t>)</w:t>
            </w:r>
            <w:r w:rsidR="0040612F" w:rsidRPr="00FC7BCF">
              <w:rPr>
                <w:u w:val="single"/>
                <w:lang w:val="en-GB"/>
              </w:rPr>
              <w:t xml:space="preserve">. </w:t>
            </w:r>
            <w:r w:rsidR="002E23B7" w:rsidRPr="00FC7BCF">
              <w:rPr>
                <w:lang w:val="en-GB"/>
              </w:rPr>
              <w:t>For young adults navigating higher education and early working life, health and digital literacy take on new dimensions as formal school structures give way to greater individual autonomy and more complex information environments. The intervention will</w:t>
            </w:r>
            <w:r w:rsidR="0040612F" w:rsidRPr="00FC7BCF">
              <w:rPr>
                <w:lang w:val="en-GB"/>
              </w:rPr>
              <w:t xml:space="preserve"> thus</w:t>
            </w:r>
            <w:r w:rsidR="002E23B7" w:rsidRPr="00FC7BCF">
              <w:rPr>
                <w:lang w:val="en-GB"/>
              </w:rPr>
              <w:t xml:space="preserve"> be co-created with students, young professionals, university staff, and community health partners</w:t>
            </w:r>
            <w:r w:rsidR="00A6673B" w:rsidRPr="00FC7BCF">
              <w:rPr>
                <w:lang w:val="en-GB"/>
              </w:rPr>
              <w:t>.</w:t>
            </w:r>
            <w:r w:rsidR="002E23B7" w:rsidRPr="00FC7BCF">
              <w:rPr>
                <w:lang w:val="en-GB"/>
              </w:rPr>
              <w:t xml:space="preserve"> </w:t>
            </w:r>
            <w:r w:rsidR="00D51CCD" w:rsidRPr="00FC7BCF">
              <w:rPr>
                <w:lang w:val="en-GB"/>
              </w:rPr>
              <w:t>It</w:t>
            </w:r>
            <w:r w:rsidR="002E23B7" w:rsidRPr="00FC7BCF">
              <w:rPr>
                <w:lang w:val="en-GB"/>
              </w:rPr>
              <w:t xml:space="preserve"> will draw</w:t>
            </w:r>
            <w:r w:rsidR="00D51CCD" w:rsidRPr="00FC7BCF">
              <w:rPr>
                <w:lang w:val="en-GB"/>
              </w:rPr>
              <w:t xml:space="preserve">, for example, </w:t>
            </w:r>
            <w:r w:rsidR="002E23B7" w:rsidRPr="00FC7BCF">
              <w:rPr>
                <w:lang w:val="en-GB"/>
              </w:rPr>
              <w:t>on peer-based delivery models in which medical and health science students facilitate sessions on mental health and addictions for their fellow students. Digital literacy components will address specific challenges of this age group, including, for example</w:t>
            </w:r>
            <w:r w:rsidR="00A6673B" w:rsidRPr="00FC7BCF">
              <w:rPr>
                <w:lang w:val="en-GB"/>
              </w:rPr>
              <w:t xml:space="preserve">, </w:t>
            </w:r>
            <w:r w:rsidR="002E23B7" w:rsidRPr="00FC7BCF">
              <w:rPr>
                <w:lang w:val="en-GB"/>
              </w:rPr>
              <w:t xml:space="preserve">critical appraisal of health information encountered on social media and professional networks, understanding how algorithmic personalisation shapes health-related content exposure, and building resilience to misinformation through pre-bunking strategies. </w:t>
            </w:r>
            <w:r w:rsidR="009D6FF3" w:rsidRPr="00FC7BCF">
              <w:rPr>
                <w:lang w:val="en-GB"/>
              </w:rPr>
              <w:t xml:space="preserve">Besides aiming at enhancing young adults’ </w:t>
            </w:r>
            <w:r w:rsidR="0091000C" w:rsidRPr="00FC7BCF">
              <w:rPr>
                <w:lang w:val="en-GB"/>
              </w:rPr>
              <w:t xml:space="preserve">health and digital </w:t>
            </w:r>
            <w:r w:rsidR="009D6FF3" w:rsidRPr="00FC7BCF">
              <w:rPr>
                <w:lang w:val="en-GB"/>
              </w:rPr>
              <w:t>literacy, th</w:t>
            </w:r>
            <w:r w:rsidR="0091000C" w:rsidRPr="00FC7BCF">
              <w:rPr>
                <w:lang w:val="en-GB"/>
              </w:rPr>
              <w:t>e</w:t>
            </w:r>
            <w:r w:rsidR="009D6FF3" w:rsidRPr="00FC7BCF">
              <w:rPr>
                <w:lang w:val="en-GB"/>
              </w:rPr>
              <w:t xml:space="preserve"> intervention also aims at educating </w:t>
            </w:r>
            <w:r w:rsidR="0091000C" w:rsidRPr="00FC7BCF">
              <w:rPr>
                <w:lang w:val="en-GB"/>
              </w:rPr>
              <w:t xml:space="preserve">young adults </w:t>
            </w:r>
            <w:r w:rsidR="009D6FF3" w:rsidRPr="00FC7BCF">
              <w:rPr>
                <w:lang w:val="en-GB"/>
              </w:rPr>
              <w:t>about behavioural biases (e.g., present bias, probabili</w:t>
            </w:r>
            <w:r w:rsidR="00004BF7" w:rsidRPr="00FC7BCF">
              <w:rPr>
                <w:lang w:val="en-GB"/>
              </w:rPr>
              <w:t>ty overweighting</w:t>
            </w:r>
            <w:r w:rsidR="009D6FF3" w:rsidRPr="00FC7BCF">
              <w:rPr>
                <w:lang w:val="en-GB"/>
              </w:rPr>
              <w:t xml:space="preserve">) and </w:t>
            </w:r>
            <w:r w:rsidR="00965882" w:rsidRPr="00FC7BCF">
              <w:rPr>
                <w:lang w:val="en-GB"/>
              </w:rPr>
              <w:t xml:space="preserve">limited </w:t>
            </w:r>
            <w:r w:rsidR="009D6FF3" w:rsidRPr="00FC7BCF">
              <w:rPr>
                <w:lang w:val="en-GB"/>
              </w:rPr>
              <w:t>self-control</w:t>
            </w:r>
            <w:r w:rsidR="00965882" w:rsidRPr="00FC7BCF">
              <w:rPr>
                <w:lang w:val="en-GB"/>
              </w:rPr>
              <w:t xml:space="preserve"> </w:t>
            </w:r>
            <w:r w:rsidR="0091000C" w:rsidRPr="00FC7BCF">
              <w:rPr>
                <w:lang w:val="en-GB"/>
              </w:rPr>
              <w:t>important for health behavio</w:t>
            </w:r>
            <w:r w:rsidR="00165C8A" w:rsidRPr="00FC7BCF">
              <w:rPr>
                <w:lang w:val="en-GB"/>
              </w:rPr>
              <w:t>u</w:t>
            </w:r>
            <w:r w:rsidR="0091000C" w:rsidRPr="00FC7BCF">
              <w:rPr>
                <w:lang w:val="en-GB"/>
              </w:rPr>
              <w:t>rs</w:t>
            </w:r>
            <w:r w:rsidR="00A268F4">
              <w:rPr>
                <w:lang w:val="en-GB"/>
              </w:rPr>
              <w:t xml:space="preserve"> while also highlighting self-centred benefit</w:t>
            </w:r>
            <w:r w:rsidR="00B54943">
              <w:rPr>
                <w:lang w:val="en-GB"/>
              </w:rPr>
              <w:t>s</w:t>
            </w:r>
            <w:r w:rsidR="009D6FF3" w:rsidRPr="00FC7BCF">
              <w:rPr>
                <w:lang w:val="en-GB"/>
              </w:rPr>
              <w:t xml:space="preserve">. </w:t>
            </w:r>
            <w:r w:rsidR="002E23B7" w:rsidRPr="00FC7BCF">
              <w:rPr>
                <w:lang w:val="en-GB"/>
              </w:rPr>
              <w:t>A dedicated module will explore the links between digital media habits and health behaviours, feeding directly into the monitoring and feedback approach described below.</w:t>
            </w:r>
          </w:p>
          <w:p w14:paraId="2D70DB3F" w14:textId="4830BC79" w:rsidR="00F32997" w:rsidRPr="00FC7BCF" w:rsidRDefault="00000000" w:rsidP="002D251D">
            <w:pPr>
              <w:spacing w:before="60" w:after="60"/>
              <w:jc w:val="both"/>
              <w:rPr>
                <w:lang w:val="en-GB"/>
              </w:rPr>
            </w:pPr>
            <w:r w:rsidRPr="00FC7BCF">
              <w:rPr>
                <w:u w:val="single"/>
                <w:lang w:val="en-GB"/>
              </w:rPr>
              <w:t>T5.3.2 Device-assisted monitoring and feedback intervention (</w:t>
            </w:r>
            <w:r w:rsidR="00BF46CA" w:rsidRPr="00FC7BCF">
              <w:rPr>
                <w:u w:val="single"/>
                <w:lang w:val="en-GB"/>
              </w:rPr>
              <w:t>UoC</w:t>
            </w:r>
            <w:r w:rsidRPr="00FC7BCF">
              <w:rPr>
                <w:u w:val="single"/>
                <w:lang w:val="en-GB"/>
              </w:rPr>
              <w:t>, NYU)</w:t>
            </w:r>
            <w:r w:rsidR="0040612F" w:rsidRPr="00FC7BCF">
              <w:rPr>
                <w:u w:val="single"/>
                <w:lang w:val="en-GB"/>
              </w:rPr>
              <w:t>.</w:t>
            </w:r>
            <w:r w:rsidRPr="00FC7BCF">
              <w:rPr>
                <w:lang w:val="en-GB"/>
              </w:rPr>
              <w:t xml:space="preserve"> An individual-level intervention leveraging smartphone applications </w:t>
            </w:r>
            <w:r w:rsidR="0040612F" w:rsidRPr="00FC7BCF">
              <w:rPr>
                <w:lang w:val="en-GB"/>
              </w:rPr>
              <w:t xml:space="preserve">and potentially wearable devices </w:t>
            </w:r>
            <w:r w:rsidRPr="00FC7BCF">
              <w:rPr>
                <w:lang w:val="en-GB"/>
              </w:rPr>
              <w:t xml:space="preserve">to provide young adults with real-time monitoring and personalised feedback on health-related behaviours, including physical activity, sleep, dietary patterns, and screen time. Components may include: </w:t>
            </w:r>
            <w:r w:rsidR="004E3E47" w:rsidRPr="00FC7BCF">
              <w:rPr>
                <w:lang w:val="en-GB"/>
              </w:rPr>
              <w:t>(</w:t>
            </w:r>
            <w:r w:rsidRPr="00FC7BCF">
              <w:rPr>
                <w:lang w:val="en-GB"/>
              </w:rPr>
              <w:t xml:space="preserve">a) use of validated wearable sensors and linked apps to track daily health behaviours and generate tailored feedback reports, supporting self-awareness and behavioural self-regulation; </w:t>
            </w:r>
            <w:r w:rsidR="004E3E47" w:rsidRPr="00FC7BCF">
              <w:rPr>
                <w:lang w:val="en-GB"/>
              </w:rPr>
              <w:t>(</w:t>
            </w:r>
            <w:r w:rsidRPr="00FC7BCF">
              <w:rPr>
                <w:lang w:val="en-GB"/>
              </w:rPr>
              <w:t>b) structured goal-setting and reflection modules, enabling users to set personal health targets and review progress over time, with optional sharing with peer</w:t>
            </w:r>
            <w:r w:rsidR="0094363B" w:rsidRPr="00FC7BCF">
              <w:rPr>
                <w:lang w:val="en-GB"/>
              </w:rPr>
              <w:t>s</w:t>
            </w:r>
            <w:r w:rsidRPr="00FC7BCF">
              <w:rPr>
                <w:lang w:val="en-GB"/>
              </w:rPr>
              <w:t xml:space="preserve"> </w:t>
            </w:r>
            <w:r w:rsidR="0009120D" w:rsidRPr="00FC7BCF">
              <w:rPr>
                <w:lang w:val="en-GB"/>
              </w:rPr>
              <w:t>and/</w:t>
            </w:r>
            <w:r w:rsidRPr="00FC7BCF">
              <w:rPr>
                <w:lang w:val="en-GB"/>
              </w:rPr>
              <w:t xml:space="preserve">or professional support; and </w:t>
            </w:r>
            <w:r w:rsidR="004E3E47" w:rsidRPr="00FC7BCF">
              <w:rPr>
                <w:lang w:val="en-GB"/>
              </w:rPr>
              <w:t>(</w:t>
            </w:r>
            <w:r w:rsidRPr="00FC7BCF">
              <w:rPr>
                <w:lang w:val="en-GB"/>
              </w:rPr>
              <w:t xml:space="preserve">c) nudges delivered via app notifications, prompting timely behaviour change based on individually </w:t>
            </w:r>
            <w:r w:rsidRPr="00FC7BCF">
              <w:rPr>
                <w:lang w:val="en-GB"/>
              </w:rPr>
              <w:lastRenderedPageBreak/>
              <w:t>tracked patterns</w:t>
            </w:r>
            <w:r w:rsidR="0040612F" w:rsidRPr="00FC7BCF">
              <w:rPr>
                <w:lang w:val="en-GB"/>
              </w:rPr>
              <w:t xml:space="preserve">, </w:t>
            </w:r>
            <w:r w:rsidRPr="00FC7BCF">
              <w:rPr>
                <w:lang w:val="en-GB"/>
              </w:rPr>
              <w:t xml:space="preserve">for </w:t>
            </w:r>
            <w:r w:rsidR="0040612F" w:rsidRPr="00FC7BCF">
              <w:rPr>
                <w:lang w:val="en-GB"/>
              </w:rPr>
              <w:t>example</w:t>
            </w:r>
            <w:r w:rsidRPr="00FC7BCF">
              <w:rPr>
                <w:lang w:val="en-GB"/>
              </w:rPr>
              <w:t xml:space="preserve">, encouraging </w:t>
            </w:r>
            <w:r w:rsidR="00806E62">
              <w:rPr>
                <w:lang w:val="en-GB"/>
              </w:rPr>
              <w:t xml:space="preserve">physical activity </w:t>
            </w:r>
            <w:r w:rsidRPr="00FC7BCF">
              <w:rPr>
                <w:lang w:val="en-GB"/>
              </w:rPr>
              <w:t>or signalling screen-time thresholds to support sleep hygiene.</w:t>
            </w:r>
          </w:p>
          <w:p w14:paraId="5D97C1D2" w14:textId="68E657C1" w:rsidR="00F32997" w:rsidRPr="00FC7BCF" w:rsidRDefault="00000000" w:rsidP="002D251D">
            <w:pPr>
              <w:spacing w:before="60" w:after="60"/>
              <w:jc w:val="both"/>
              <w:rPr>
                <w:lang w:val="en-GB"/>
              </w:rPr>
            </w:pPr>
            <w:r w:rsidRPr="00FC7BCF">
              <w:rPr>
                <w:u w:val="single"/>
                <w:lang w:val="en-GB"/>
              </w:rPr>
              <w:t>T5.3.3 Health-promoting environments and nudges intervention (EHN, ICL)</w:t>
            </w:r>
            <w:r w:rsidR="00EF79C9" w:rsidRPr="00FC7BCF">
              <w:rPr>
                <w:u w:val="single"/>
                <w:lang w:val="en-GB"/>
              </w:rPr>
              <w:t>.</w:t>
            </w:r>
            <w:r w:rsidRPr="00FC7BCF">
              <w:rPr>
                <w:lang w:val="en-GB"/>
              </w:rPr>
              <w:t xml:space="preserve"> </w:t>
            </w:r>
            <w:r w:rsidR="00DC2639" w:rsidRPr="00FC7BCF">
              <w:rPr>
                <w:lang w:val="en-GB"/>
              </w:rPr>
              <w:t xml:space="preserve">Universities and workplaces offer underexplored but promising leverage points for shaping the health behaviours of young adults. Unlike the school setting, these environments are characterised by greater individual autonomy and a more complex mix of commercial, social, and institutional influences on food choice, physical activity, and digital habits. The intervention will work across three interconnected levers: </w:t>
            </w:r>
            <w:r w:rsidR="004E3E47" w:rsidRPr="00FC7BCF">
              <w:rPr>
                <w:lang w:val="en-GB"/>
              </w:rPr>
              <w:t>(</w:t>
            </w:r>
            <w:r w:rsidR="00DC2639" w:rsidRPr="00FC7BCF">
              <w:rPr>
                <w:lang w:val="en-GB"/>
              </w:rPr>
              <w:t xml:space="preserve">a) food environments in universities and community settings will be mapped against WHO and EU policy benchmarks, with targeted changes to provision, nutrition standards, and choice architecture </w:t>
            </w:r>
            <w:r w:rsidR="00295014" w:rsidRPr="00FC7BCF">
              <w:rPr>
                <w:lang w:val="en-GB"/>
              </w:rPr>
              <w:t xml:space="preserve">(e.g., </w:t>
            </w:r>
            <w:r w:rsidR="00DC2639" w:rsidRPr="00FC7BCF">
              <w:rPr>
                <w:lang w:val="en-GB"/>
              </w:rPr>
              <w:t xml:space="preserve">food </w:t>
            </w:r>
            <w:r w:rsidR="004E3E47" w:rsidRPr="00FC7BCF">
              <w:rPr>
                <w:lang w:val="en-GB"/>
              </w:rPr>
              <w:t>and</w:t>
            </w:r>
            <w:r w:rsidR="00DC2639" w:rsidRPr="00FC7BCF">
              <w:rPr>
                <w:lang w:val="en-GB"/>
              </w:rPr>
              <w:t xml:space="preserve"> </w:t>
            </w:r>
            <w:r w:rsidR="004E3E47" w:rsidRPr="00FC7BCF">
              <w:rPr>
                <w:lang w:val="en-GB"/>
              </w:rPr>
              <w:t xml:space="preserve">calorie labels, </w:t>
            </w:r>
            <w:r w:rsidR="00295014" w:rsidRPr="00FC7BCF">
              <w:rPr>
                <w:lang w:val="en-GB"/>
              </w:rPr>
              <w:t>p</w:t>
            </w:r>
            <w:r w:rsidR="00DC2639" w:rsidRPr="00FC7BCF">
              <w:rPr>
                <w:lang w:val="en-GB"/>
              </w:rPr>
              <w:t xml:space="preserve">resentation and positioning of healthier </w:t>
            </w:r>
            <w:r w:rsidR="00840C0B" w:rsidRPr="00FC7BCF">
              <w:rPr>
                <w:lang w:val="en-GB"/>
              </w:rPr>
              <w:t xml:space="preserve">food </w:t>
            </w:r>
            <w:r w:rsidR="00DC2639" w:rsidRPr="00FC7BCF">
              <w:rPr>
                <w:lang w:val="en-GB"/>
              </w:rPr>
              <w:t>options</w:t>
            </w:r>
            <w:r w:rsidR="00295014" w:rsidRPr="00FC7BCF">
              <w:rPr>
                <w:lang w:val="en-GB"/>
              </w:rPr>
              <w:t>)</w:t>
            </w:r>
            <w:r w:rsidR="00DC2639" w:rsidRPr="00FC7BCF">
              <w:rPr>
                <w:lang w:val="en-GB"/>
              </w:rPr>
              <w:t xml:space="preserve">; </w:t>
            </w:r>
            <w:r w:rsidR="004E3E47" w:rsidRPr="00FC7BCF">
              <w:rPr>
                <w:lang w:val="en-GB"/>
              </w:rPr>
              <w:t>(</w:t>
            </w:r>
            <w:r w:rsidR="00DC2639" w:rsidRPr="00FC7BCF">
              <w:rPr>
                <w:lang w:val="en-GB"/>
              </w:rPr>
              <w:t xml:space="preserve">b) where campus infrastructure allows, food environment improvements will be paired with measures to support physical activity, such as accessible recreational facilities, addressing overweight and obesity through combined behavioural pathways; and </w:t>
            </w:r>
            <w:r w:rsidR="004E3E47" w:rsidRPr="00FC7BCF">
              <w:rPr>
                <w:lang w:val="en-GB"/>
              </w:rPr>
              <w:t>(</w:t>
            </w:r>
            <w:r w:rsidR="00DC2639" w:rsidRPr="00FC7BCF">
              <w:rPr>
                <w:lang w:val="en-GB"/>
              </w:rPr>
              <w:t>c) digital environment nudges, distinctive to this age group, will include designated screen-free zones for study and socialising, default opt-out from social media notifications during scheduled academic periods, and awareness initiatives connecting screen time, sleep quality, and mental wellbeing.</w:t>
            </w:r>
          </w:p>
        </w:tc>
      </w:tr>
      <w:tr w:rsidR="00F32997" w:rsidRPr="00FC7BCF" w14:paraId="7A40C77F" w14:textId="77777777" w:rsidTr="008B730E">
        <w:tc>
          <w:tcPr>
            <w:tcW w:w="9781" w:type="dxa"/>
            <w:gridSpan w:val="4"/>
            <w:tcBorders>
              <w:top w:val="single" w:sz="4" w:space="0" w:color="AAAAAA"/>
              <w:left w:val="single" w:sz="4" w:space="0" w:color="AAAAAA"/>
              <w:bottom w:val="single" w:sz="4" w:space="0" w:color="AAAAAA"/>
              <w:right w:val="single" w:sz="4" w:space="0" w:color="AAAAAA"/>
            </w:tcBorders>
            <w:shd w:val="clear" w:color="auto" w:fill="FFFFFF" w:themeFill="background1"/>
            <w:tcMar>
              <w:top w:w="80" w:type="dxa"/>
              <w:left w:w="120" w:type="dxa"/>
              <w:bottom w:w="80" w:type="dxa"/>
              <w:right w:w="120" w:type="dxa"/>
            </w:tcMar>
          </w:tcPr>
          <w:p w14:paraId="5C73DB8D" w14:textId="0C7E1729" w:rsidR="00F32997" w:rsidRPr="00FC7BCF" w:rsidRDefault="00000000" w:rsidP="002D251D">
            <w:pPr>
              <w:spacing w:before="60" w:after="60"/>
              <w:jc w:val="both"/>
              <w:rPr>
                <w:lang w:val="en-GB"/>
              </w:rPr>
            </w:pPr>
            <w:r w:rsidRPr="00FC7BCF">
              <w:rPr>
                <w:b/>
                <w:bCs/>
                <w:lang w:val="en-GB"/>
              </w:rPr>
              <w:lastRenderedPageBreak/>
              <w:t>Deliverables</w:t>
            </w:r>
          </w:p>
          <w:p w14:paraId="63BA86D7" w14:textId="75A17134" w:rsidR="00F32997" w:rsidRPr="00FC7BCF" w:rsidRDefault="00000000" w:rsidP="002D251D">
            <w:pPr>
              <w:spacing w:before="60" w:after="60"/>
              <w:jc w:val="both"/>
              <w:rPr>
                <w:lang w:val="en-GB"/>
              </w:rPr>
            </w:pPr>
            <w:r w:rsidRPr="00FC7BCF">
              <w:rPr>
                <w:lang w:val="en-GB"/>
              </w:rPr>
              <w:t>D5.1 Systematic review M</w:t>
            </w:r>
            <w:r w:rsidR="00EF79C9" w:rsidRPr="00FC7BCF">
              <w:rPr>
                <w:lang w:val="en-GB"/>
              </w:rPr>
              <w:t>6</w:t>
            </w:r>
            <w:r w:rsidR="00135D91" w:rsidRPr="00FC7BCF">
              <w:rPr>
                <w:lang w:val="en-GB"/>
              </w:rPr>
              <w:t>/M9</w:t>
            </w:r>
          </w:p>
          <w:p w14:paraId="05D3BF0D" w14:textId="4B12646E" w:rsidR="00F32997" w:rsidRPr="00FC7BCF" w:rsidRDefault="00000000" w:rsidP="002D251D">
            <w:pPr>
              <w:spacing w:before="60" w:after="60"/>
              <w:jc w:val="both"/>
              <w:rPr>
                <w:lang w:val="en-GB"/>
              </w:rPr>
            </w:pPr>
            <w:r w:rsidRPr="00FC7BCF">
              <w:rPr>
                <w:lang w:val="en-GB"/>
              </w:rPr>
              <w:t xml:space="preserve">D5.2 Report on intervention development </w:t>
            </w:r>
            <w:r w:rsidR="00135D91" w:rsidRPr="00FC7BCF">
              <w:rPr>
                <w:lang w:val="en-GB"/>
              </w:rPr>
              <w:t xml:space="preserve">and young adult involvement </w:t>
            </w:r>
            <w:r w:rsidRPr="00FC7BCF">
              <w:rPr>
                <w:lang w:val="en-GB"/>
              </w:rPr>
              <w:t>M1</w:t>
            </w:r>
            <w:r w:rsidR="0009120D" w:rsidRPr="00FC7BCF">
              <w:rPr>
                <w:lang w:val="en-GB"/>
              </w:rPr>
              <w:t>2</w:t>
            </w:r>
          </w:p>
          <w:p w14:paraId="2754FA24" w14:textId="77777777" w:rsidR="00F32997" w:rsidRPr="00FC7BCF" w:rsidRDefault="00000000" w:rsidP="002D251D">
            <w:pPr>
              <w:spacing w:before="60" w:after="60"/>
              <w:jc w:val="both"/>
              <w:rPr>
                <w:lang w:val="en-GB"/>
              </w:rPr>
            </w:pPr>
            <w:r w:rsidRPr="00FC7BCF">
              <w:rPr>
                <w:lang w:val="en-GB"/>
              </w:rPr>
              <w:t>D5.3 Health and digital literacy intervention description M9</w:t>
            </w:r>
          </w:p>
          <w:p w14:paraId="020CF533" w14:textId="77777777" w:rsidR="00F32997" w:rsidRPr="00FC7BCF" w:rsidRDefault="00000000" w:rsidP="002D251D">
            <w:pPr>
              <w:spacing w:before="60" w:after="60"/>
              <w:jc w:val="both"/>
              <w:rPr>
                <w:lang w:val="en-GB"/>
              </w:rPr>
            </w:pPr>
            <w:r w:rsidRPr="00FC7BCF">
              <w:rPr>
                <w:lang w:val="en-GB"/>
              </w:rPr>
              <w:t>D5.4 Device-assisted monitoring and feedback intervention description M9</w:t>
            </w:r>
          </w:p>
          <w:p w14:paraId="6C2448D7" w14:textId="096B1274" w:rsidR="00F32997" w:rsidRPr="00FC7BCF" w:rsidRDefault="00000000" w:rsidP="002D251D">
            <w:pPr>
              <w:spacing w:before="60" w:after="60"/>
              <w:jc w:val="both"/>
              <w:rPr>
                <w:lang w:val="en-GB"/>
              </w:rPr>
            </w:pPr>
            <w:r w:rsidRPr="00FC7BCF">
              <w:rPr>
                <w:lang w:val="en-GB"/>
              </w:rPr>
              <w:t>D5.5 Health-promoting environments and nudges intervention description M9</w:t>
            </w:r>
          </w:p>
          <w:p w14:paraId="49B0F769" w14:textId="77777777" w:rsidR="000A4C0D" w:rsidRPr="00FC7BCF" w:rsidRDefault="000A4C0D" w:rsidP="002D251D">
            <w:pPr>
              <w:spacing w:before="60" w:after="60"/>
              <w:jc w:val="both"/>
              <w:rPr>
                <w:lang w:val="en-GB"/>
              </w:rPr>
            </w:pPr>
          </w:p>
          <w:p w14:paraId="18A8DD66" w14:textId="17B973CC" w:rsidR="00F32997" w:rsidRPr="00FC7BCF" w:rsidRDefault="00000000" w:rsidP="002D251D">
            <w:pPr>
              <w:spacing w:before="60" w:after="60"/>
              <w:jc w:val="both"/>
              <w:rPr>
                <w:lang w:val="en-GB"/>
              </w:rPr>
            </w:pPr>
            <w:r w:rsidRPr="00FC7BCF">
              <w:rPr>
                <w:b/>
                <w:bCs/>
                <w:lang w:val="en-GB"/>
              </w:rPr>
              <w:t>Milestones</w:t>
            </w:r>
          </w:p>
          <w:p w14:paraId="09BC7E30" w14:textId="2510460C" w:rsidR="00F32997" w:rsidRPr="00FC7BCF" w:rsidRDefault="00000000" w:rsidP="002D251D">
            <w:pPr>
              <w:spacing w:before="60" w:after="60"/>
              <w:jc w:val="both"/>
              <w:rPr>
                <w:lang w:val="en-GB"/>
              </w:rPr>
            </w:pPr>
            <w:r w:rsidRPr="00FC7BCF">
              <w:rPr>
                <w:lang w:val="en-GB"/>
              </w:rPr>
              <w:t>M5.1 Intervention packages and implementation plans finalized</w:t>
            </w:r>
          </w:p>
          <w:p w14:paraId="6F49CAB2" w14:textId="77777777" w:rsidR="000A4C0D" w:rsidRPr="00FC7BCF" w:rsidRDefault="000A4C0D" w:rsidP="002D251D">
            <w:pPr>
              <w:spacing w:before="60" w:after="60"/>
              <w:jc w:val="both"/>
              <w:rPr>
                <w:lang w:val="en-GB"/>
              </w:rPr>
            </w:pPr>
          </w:p>
          <w:p w14:paraId="383AA2AB" w14:textId="409C0FBB" w:rsidR="00F32997" w:rsidRPr="00FC7BCF" w:rsidRDefault="00000000" w:rsidP="002D251D">
            <w:pPr>
              <w:spacing w:before="60" w:after="60"/>
              <w:jc w:val="both"/>
              <w:rPr>
                <w:lang w:val="en-GB"/>
              </w:rPr>
            </w:pPr>
            <w:r w:rsidRPr="00FC7BCF">
              <w:rPr>
                <w:b/>
                <w:bCs/>
                <w:lang w:val="en-GB"/>
              </w:rPr>
              <w:t>Critical risks</w:t>
            </w:r>
          </w:p>
          <w:p w14:paraId="3C7F49D8" w14:textId="5D3236E8" w:rsidR="00F32997" w:rsidRPr="00FC7BCF" w:rsidRDefault="00E066F5" w:rsidP="002D251D">
            <w:pPr>
              <w:spacing w:before="60" w:after="60"/>
              <w:jc w:val="both"/>
              <w:rPr>
                <w:lang w:val="en-GB"/>
              </w:rPr>
            </w:pPr>
            <w:r w:rsidRPr="00FC7BCF">
              <w:rPr>
                <w:lang w:val="en-GB"/>
              </w:rPr>
              <w:t>Individual-oriented interventions rest on the implicit premise that people possess sufficient agency to modify their behaviour in response to health-promoting initiatives. However, this assumption does not hold uniformly across populations. Such approaches risk disproportionately benefiting those who already possess the social, economic, and environmental resources to enact healthier choices, potentially exacerbating existing health inequalities by systematically privileging more advantaged groups. This concern is particularly acute among young adults aged 19</w:t>
            </w:r>
            <w:r w:rsidR="00B4169C" w:rsidRPr="00FC7BCF">
              <w:rPr>
                <w:lang w:val="en-GB"/>
              </w:rPr>
              <w:t xml:space="preserve"> to </w:t>
            </w:r>
            <w:r w:rsidRPr="00FC7BCF">
              <w:rPr>
                <w:lang w:val="en-GB"/>
              </w:rPr>
              <w:t>25, given the considerable diversity in their living situations, financial circumstances, and access to education or community support.</w:t>
            </w:r>
          </w:p>
        </w:tc>
      </w:tr>
    </w:tbl>
    <w:p w14:paraId="22323FC9" w14:textId="77777777" w:rsidR="000A7369" w:rsidRPr="00FC7BCF" w:rsidRDefault="000A7369">
      <w:pPr>
        <w:rPr>
          <w:lang w:val="en-GB"/>
        </w:rPr>
      </w:pPr>
    </w:p>
    <w:p w14:paraId="0FF0B177" w14:textId="1FD4DBB4" w:rsidR="007D39E7" w:rsidRPr="00FC7BCF" w:rsidRDefault="0094363B" w:rsidP="004E3E47">
      <w:pPr>
        <w:pStyle w:val="Listenabsatz"/>
        <w:numPr>
          <w:ilvl w:val="1"/>
          <w:numId w:val="3"/>
        </w:numPr>
        <w:spacing w:before="200"/>
        <w:rPr>
          <w:b/>
          <w:bCs/>
          <w:lang w:val="en-GB"/>
        </w:rPr>
      </w:pPr>
      <w:r w:rsidRPr="00FC7BCF">
        <w:rPr>
          <w:b/>
          <w:bCs/>
          <w:lang w:val="en-GB"/>
        </w:rPr>
        <w:t>Objectives and Ambition</w:t>
      </w:r>
    </w:p>
    <w:p w14:paraId="44201832" w14:textId="77777777" w:rsidR="004E3E47" w:rsidRPr="00FC7BCF" w:rsidRDefault="00295014" w:rsidP="00E8183D">
      <w:pPr>
        <w:jc w:val="both"/>
        <w:rPr>
          <w:lang w:val="en-GB"/>
        </w:rPr>
      </w:pPr>
      <w:r w:rsidRPr="00FC7BCF">
        <w:rPr>
          <w:color w:val="000000"/>
          <w:lang w:val="en-GB"/>
        </w:rPr>
        <w:t>Young adulthood (aged 19–25) is a pivotal yet underexplored life stage for health promotion, marked by transitions into higher education, employment, and independent living that reshape health behaviours in ways distinct from both adolescence and later adulthood. University and workplace settings offer structured access to large populations but remain underutilised platforms for health promotion. Health literacy measurement in this group remains inconsistent, and the rapid expansion of digital media has amplified exposure to misinformation, posing significant challenges to effective health promotion. The Z-HEALTH project aims to strengthen health literacy among young adults by addressing misinformation and implementing co-created interventions in collaboration with young adults, educators, health professionals, and community partners.</w:t>
      </w:r>
    </w:p>
    <w:p w14:paraId="37ECB435" w14:textId="77777777" w:rsidR="004E3E47" w:rsidRPr="00FC7BCF" w:rsidRDefault="004E3E47" w:rsidP="00E8183D">
      <w:pPr>
        <w:jc w:val="both"/>
        <w:rPr>
          <w:color w:val="000000"/>
          <w:lang w:val="en-GB"/>
        </w:rPr>
      </w:pPr>
    </w:p>
    <w:p w14:paraId="402357FF" w14:textId="0E6884E6" w:rsidR="0094363B" w:rsidRPr="00FC7BCF" w:rsidRDefault="00295014" w:rsidP="00E8183D">
      <w:pPr>
        <w:jc w:val="both"/>
        <w:rPr>
          <w:color w:val="000000"/>
          <w:lang w:val="en-GB"/>
        </w:rPr>
      </w:pPr>
      <w:r w:rsidRPr="00FC7BCF">
        <w:rPr>
          <w:color w:val="000000"/>
          <w:lang w:val="en-GB"/>
        </w:rPr>
        <w:t xml:space="preserve">A critical point of departure for WP5 is </w:t>
      </w:r>
      <w:r w:rsidR="004E3E47" w:rsidRPr="00FC7BCF">
        <w:rPr>
          <w:color w:val="000000"/>
          <w:lang w:val="en-GB"/>
        </w:rPr>
        <w:t>that</w:t>
      </w:r>
      <w:r w:rsidRPr="00FC7BCF">
        <w:rPr>
          <w:color w:val="000000"/>
          <w:lang w:val="en-GB"/>
        </w:rPr>
        <w:t xml:space="preserve"> technology-based health behaviour interventions in school and office settings</w:t>
      </w:r>
      <w:r w:rsidR="004E3E47" w:rsidRPr="00FC7BCF">
        <w:rPr>
          <w:color w:val="000000"/>
          <w:lang w:val="en-GB"/>
        </w:rPr>
        <w:t xml:space="preserve"> using</w:t>
      </w:r>
      <w:r w:rsidRPr="00FC7BCF">
        <w:rPr>
          <w:color w:val="000000"/>
          <w:lang w:val="en-GB"/>
        </w:rPr>
        <w:t xml:space="preserve"> technology alone is insufficient</w:t>
      </w:r>
      <w:r w:rsidR="004E3E47" w:rsidRPr="00FC7BCF">
        <w:rPr>
          <w:color w:val="000000"/>
          <w:lang w:val="en-GB"/>
        </w:rPr>
        <w:t xml:space="preserve"> as indicated by a recent systematic review by Wyatt et al. (2026)</w:t>
      </w:r>
      <w:r w:rsidR="004E3E47" w:rsidRPr="00FC7BCF">
        <w:rPr>
          <w:vertAlign w:val="superscript"/>
        </w:rPr>
        <w:footnoteReference w:id="1"/>
      </w:r>
      <w:r w:rsidR="005E59C4" w:rsidRPr="00FC7BCF">
        <w:rPr>
          <w:color w:val="000000"/>
          <w:lang w:val="en-GB"/>
        </w:rPr>
        <w:t>:</w:t>
      </w:r>
      <w:r w:rsidR="004E3E47" w:rsidRPr="00FC7BCF">
        <w:rPr>
          <w:color w:val="000000"/>
          <w:lang w:val="en-GB"/>
        </w:rPr>
        <w:t xml:space="preserve"> </w:t>
      </w:r>
      <w:r w:rsidR="005E59C4" w:rsidRPr="00FC7BCF">
        <w:rPr>
          <w:color w:val="000000"/>
          <w:lang w:val="en-GB"/>
        </w:rPr>
        <w:t>E</w:t>
      </w:r>
      <w:r w:rsidRPr="00FC7BCF">
        <w:rPr>
          <w:color w:val="000000"/>
          <w:lang w:val="en-GB"/>
        </w:rPr>
        <w:t>ffective interventions</w:t>
      </w:r>
      <w:r w:rsidR="005E59C4" w:rsidRPr="00FC7BCF">
        <w:rPr>
          <w:color w:val="000000"/>
          <w:lang w:val="en-GB"/>
        </w:rPr>
        <w:t xml:space="preserve"> are</w:t>
      </w:r>
      <w:r w:rsidRPr="00FC7BCF">
        <w:rPr>
          <w:color w:val="000000"/>
          <w:lang w:val="en-GB"/>
        </w:rPr>
        <w:t xml:space="preserve"> grounded in behavioural frameworks and incorporating personalised feedback, goal-setting, and social support</w:t>
      </w:r>
      <w:r w:rsidR="00443B27" w:rsidRPr="00FC7BCF">
        <w:rPr>
          <w:color w:val="000000"/>
          <w:lang w:val="en-GB"/>
        </w:rPr>
        <w:t>,</w:t>
      </w:r>
      <w:r w:rsidRPr="00FC7BCF">
        <w:rPr>
          <w:color w:val="000000"/>
          <w:lang w:val="en-GB"/>
        </w:rPr>
        <w:t xml:space="preserve"> the core mechanisms of behavioural</w:t>
      </w:r>
      <w:r w:rsidR="009E3457" w:rsidRPr="00FC7BCF">
        <w:rPr>
          <w:color w:val="000000"/>
          <w:lang w:val="en-GB"/>
        </w:rPr>
        <w:t xml:space="preserve"> </w:t>
      </w:r>
      <w:r w:rsidRPr="00FC7BCF">
        <w:rPr>
          <w:color w:val="000000"/>
          <w:lang w:val="en-GB"/>
        </w:rPr>
        <w:t>economic nudges</w:t>
      </w:r>
      <w:r w:rsidR="00443B27" w:rsidRPr="00FC7BCF">
        <w:rPr>
          <w:color w:val="000000"/>
          <w:lang w:val="en-GB"/>
        </w:rPr>
        <w:t xml:space="preserve"> (e.g., Thaler, 2018)</w:t>
      </w:r>
      <w:r w:rsidRPr="00FC7BCF">
        <w:rPr>
          <w:color w:val="000000"/>
          <w:lang w:val="en-GB"/>
        </w:rPr>
        <w:t>.</w:t>
      </w:r>
      <w:r w:rsidR="00443B27" w:rsidRPr="00FC7BCF">
        <w:rPr>
          <w:vertAlign w:val="superscript"/>
        </w:rPr>
        <w:footnoteReference w:id="2"/>
      </w:r>
      <w:r w:rsidRPr="00FC7BCF">
        <w:rPr>
          <w:color w:val="000000"/>
          <w:lang w:val="en-GB"/>
        </w:rPr>
        <w:t xml:space="preserve"> Equally important, </w:t>
      </w:r>
      <w:r w:rsidR="004E3E47" w:rsidRPr="00FC7BCF">
        <w:rPr>
          <w:color w:val="000000"/>
          <w:lang w:val="en-GB"/>
        </w:rPr>
        <w:t xml:space="preserve">is considering </w:t>
      </w:r>
      <w:r w:rsidR="009E3457" w:rsidRPr="00FC7BCF">
        <w:rPr>
          <w:color w:val="000000"/>
          <w:lang w:val="en-GB"/>
        </w:rPr>
        <w:t>heterogeneity i</w:t>
      </w:r>
      <w:r w:rsidRPr="00FC7BCF">
        <w:rPr>
          <w:color w:val="000000"/>
          <w:lang w:val="en-GB"/>
        </w:rPr>
        <w:t>n response</w:t>
      </w:r>
      <w:r w:rsidR="004E3E47" w:rsidRPr="00FC7BCF">
        <w:rPr>
          <w:color w:val="000000"/>
          <w:lang w:val="en-GB"/>
        </w:rPr>
        <w:t>s to intervention</w:t>
      </w:r>
      <w:r w:rsidR="009E3457" w:rsidRPr="00FC7BCF">
        <w:rPr>
          <w:color w:val="000000"/>
          <w:lang w:val="en-GB"/>
        </w:rPr>
        <w:t>s</w:t>
      </w:r>
      <w:r w:rsidRPr="00FC7BCF">
        <w:rPr>
          <w:color w:val="000000"/>
          <w:lang w:val="en-GB"/>
        </w:rPr>
        <w:t xml:space="preserve"> </w:t>
      </w:r>
      <w:r w:rsidR="004E3E47" w:rsidRPr="00FC7BCF">
        <w:rPr>
          <w:color w:val="000000"/>
          <w:lang w:val="en-GB"/>
        </w:rPr>
        <w:t xml:space="preserve">based on individual characteristics. </w:t>
      </w:r>
      <w:r w:rsidRPr="00FC7BCF">
        <w:rPr>
          <w:color w:val="000000"/>
          <w:lang w:val="en-GB"/>
        </w:rPr>
        <w:t xml:space="preserve">Existing interventions </w:t>
      </w:r>
      <w:r w:rsidR="009E3457" w:rsidRPr="00FC7BCF">
        <w:rPr>
          <w:color w:val="000000"/>
          <w:lang w:val="en-GB"/>
        </w:rPr>
        <w:t xml:space="preserve">addressing health behaviours and mental illnesses so far </w:t>
      </w:r>
      <w:r w:rsidRPr="00FC7BCF">
        <w:rPr>
          <w:color w:val="000000"/>
          <w:lang w:val="en-GB"/>
        </w:rPr>
        <w:t>have largely relied on one-size-fits-all approaches</w:t>
      </w:r>
      <w:r w:rsidR="009E3457" w:rsidRPr="00FC7BCF">
        <w:rPr>
          <w:color w:val="000000"/>
          <w:lang w:val="en-GB"/>
        </w:rPr>
        <w:t>.</w:t>
      </w:r>
      <w:r w:rsidRPr="00FC7BCF">
        <w:rPr>
          <w:color w:val="000000"/>
          <w:lang w:val="en-GB"/>
        </w:rPr>
        <w:t xml:space="preserve"> </w:t>
      </w:r>
      <w:r w:rsidR="009E3457" w:rsidRPr="00FC7BCF">
        <w:rPr>
          <w:color w:val="000000"/>
          <w:lang w:val="en-GB"/>
        </w:rPr>
        <w:t xml:space="preserve">A particular challenge concerns preventing the mental health consequences of excessive </w:t>
      </w:r>
      <w:r w:rsidR="009E3457" w:rsidRPr="00FC7BCF">
        <w:rPr>
          <w:color w:val="000000"/>
          <w:lang w:val="en-GB"/>
        </w:rPr>
        <w:lastRenderedPageBreak/>
        <w:t>smartphone and social media use</w:t>
      </w:r>
      <w:r w:rsidR="00523F06" w:rsidRPr="00FC7BCF">
        <w:rPr>
          <w:color w:val="000000"/>
          <w:lang w:val="en-GB"/>
        </w:rPr>
        <w:t>.</w:t>
      </w:r>
      <w:r w:rsidR="009E3457" w:rsidRPr="00FC7BCF">
        <w:rPr>
          <w:color w:val="000000"/>
          <w:lang w:val="en-GB"/>
        </w:rPr>
        <w:t xml:space="preserve"> </w:t>
      </w:r>
      <w:r w:rsidR="00523F06" w:rsidRPr="00FC7BCF">
        <w:rPr>
          <w:color w:val="000000"/>
          <w:lang w:val="en-GB"/>
        </w:rPr>
        <w:t xml:space="preserve">While a </w:t>
      </w:r>
      <w:r w:rsidRPr="00FC7BCF">
        <w:rPr>
          <w:color w:val="000000"/>
          <w:lang w:val="en-GB"/>
        </w:rPr>
        <w:t>systematic review (Plackett et al., 2023)</w:t>
      </w:r>
      <w:r w:rsidR="00B35DFE" w:rsidRPr="00FC7BCF">
        <w:rPr>
          <w:vertAlign w:val="superscript"/>
        </w:rPr>
        <w:footnoteReference w:id="3"/>
      </w:r>
      <w:r w:rsidRPr="00FC7BCF">
        <w:rPr>
          <w:color w:val="000000"/>
          <w:lang w:val="en-GB"/>
        </w:rPr>
        <w:t xml:space="preserve"> </w:t>
      </w:r>
      <w:r w:rsidR="002F291C" w:rsidRPr="00FC7BCF">
        <w:rPr>
          <w:color w:val="000000"/>
          <w:lang w:val="en-GB"/>
        </w:rPr>
        <w:t>show</w:t>
      </w:r>
      <w:r w:rsidRPr="00FC7BCF">
        <w:rPr>
          <w:color w:val="000000"/>
          <w:lang w:val="en-GB"/>
        </w:rPr>
        <w:t xml:space="preserve"> positive effects of abstinence and reduced-usage trials</w:t>
      </w:r>
      <w:r w:rsidR="00523F06" w:rsidRPr="00FC7BCF">
        <w:rPr>
          <w:color w:val="000000"/>
          <w:lang w:val="en-GB"/>
        </w:rPr>
        <w:t>, c</w:t>
      </w:r>
      <w:r w:rsidRPr="00FC7BCF">
        <w:rPr>
          <w:color w:val="000000"/>
          <w:lang w:val="en-GB"/>
        </w:rPr>
        <w:t>omplete abstinence is an unrealistic goal for platforms inextricably linked to young adults</w:t>
      </w:r>
      <w:r w:rsidR="00584419" w:rsidRPr="00FC7BCF">
        <w:rPr>
          <w:color w:val="000000"/>
          <w:lang w:val="en-GB"/>
        </w:rPr>
        <w:t>’</w:t>
      </w:r>
      <w:r w:rsidRPr="00FC7BCF">
        <w:rPr>
          <w:color w:val="000000"/>
          <w:lang w:val="en-GB"/>
        </w:rPr>
        <w:t xml:space="preserve"> social lives. WP5 will therefore deploy behavioural-economics informed nudges</w:t>
      </w:r>
      <w:r w:rsidR="000A4C0D" w:rsidRPr="00FC7BCF">
        <w:rPr>
          <w:color w:val="000000"/>
          <w:lang w:val="en-GB"/>
        </w:rPr>
        <w:t xml:space="preserve"> </w:t>
      </w:r>
      <w:r w:rsidRPr="00FC7BCF">
        <w:rPr>
          <w:color w:val="000000"/>
          <w:lang w:val="en-GB"/>
        </w:rPr>
        <w:t xml:space="preserve">personalised usage feedback, friction-based prompts, and socially embedded goal-setting </w:t>
      </w:r>
      <w:r w:rsidR="000A4C0D" w:rsidRPr="00FC7BCF">
        <w:rPr>
          <w:color w:val="000000"/>
          <w:lang w:val="en-GB"/>
        </w:rPr>
        <w:t>tailored to individuals</w:t>
      </w:r>
      <w:r w:rsidR="002B1AEB" w:rsidRPr="00FC7BCF">
        <w:rPr>
          <w:color w:val="000000"/>
          <w:lang w:val="en-GB"/>
        </w:rPr>
        <w:t>’</w:t>
      </w:r>
      <w:r w:rsidR="000A4C0D" w:rsidRPr="00FC7BCF">
        <w:rPr>
          <w:color w:val="000000"/>
          <w:lang w:val="en-GB"/>
        </w:rPr>
        <w:t xml:space="preserve"> characteristics </w:t>
      </w:r>
      <w:r w:rsidRPr="00FC7BCF">
        <w:rPr>
          <w:color w:val="000000"/>
          <w:lang w:val="en-GB"/>
        </w:rPr>
        <w:t>and designed to escalate in intensity only for those identified as vulnerable.</w:t>
      </w:r>
    </w:p>
    <w:p w14:paraId="15DEBC98" w14:textId="77777777" w:rsidR="0094363B" w:rsidRPr="00FC7BCF" w:rsidRDefault="0094363B">
      <w:pPr>
        <w:rPr>
          <w:lang w:val="en-GB"/>
        </w:rPr>
      </w:pPr>
    </w:p>
    <w:p w14:paraId="0BA3CDDB" w14:textId="77777777" w:rsidR="0094363B" w:rsidRPr="004151DC" w:rsidRDefault="0094363B" w:rsidP="0094363B">
      <w:pPr>
        <w:widowControl w:val="0"/>
        <w:numPr>
          <w:ilvl w:val="1"/>
          <w:numId w:val="2"/>
        </w:numPr>
        <w:contextualSpacing/>
        <w:jc w:val="both"/>
        <w:rPr>
          <w:rFonts w:eastAsia="Times New Roman"/>
          <w:b/>
          <w:lang w:val="en-GB"/>
        </w:rPr>
      </w:pPr>
      <w:r w:rsidRPr="004151DC">
        <w:rPr>
          <w:rFonts w:eastAsia="Times New Roman"/>
          <w:b/>
          <w:lang w:val="en-GB"/>
        </w:rPr>
        <w:t xml:space="preserve">Methodology </w:t>
      </w:r>
    </w:p>
    <w:p w14:paraId="079F76F8" w14:textId="4F6D3463" w:rsidR="0094363B" w:rsidRPr="004151DC" w:rsidRDefault="0094363B" w:rsidP="007D5ADB">
      <w:pPr>
        <w:widowControl w:val="0"/>
        <w:contextualSpacing/>
        <w:jc w:val="both"/>
        <w:rPr>
          <w:rFonts w:eastAsia="Times New Roman"/>
          <w:b/>
          <w:lang w:val="en-GB"/>
        </w:rPr>
      </w:pPr>
      <w:r w:rsidRPr="004151DC">
        <w:rPr>
          <w:rFonts w:eastAsia="Times New Roman"/>
          <w:b/>
          <w:lang w:val="en-GB"/>
        </w:rPr>
        <w:t>1.2.1 Overall methodology</w:t>
      </w:r>
    </w:p>
    <w:p w14:paraId="1462AF8C" w14:textId="7ACD65B7" w:rsidR="00424FE0" w:rsidRPr="00FC7BCF" w:rsidRDefault="00840C0B" w:rsidP="005D0B09">
      <w:pPr>
        <w:spacing w:before="60" w:after="60"/>
        <w:jc w:val="both"/>
        <w:rPr>
          <w:lang w:val="en-GB"/>
        </w:rPr>
      </w:pPr>
      <w:r w:rsidRPr="00FC7BCF">
        <w:rPr>
          <w:lang w:val="en-GB"/>
        </w:rPr>
        <w:t>Health promotion initiatives targeting young adults have received comparatively less attention than those focused on children and adolescents, despite the critical importance of this life stage for the consolidation of health behaviours. The rapidly evolving digital environment has introduced a proliferation of alternative information sources, many of which may adversely influence young adults' health behaviours and perceptions. In response, Z-HEALTH will implement a set of integrated interventions across three key domains, with a strong emphasis on empowerment and self-management through peer-based and digitally</w:t>
      </w:r>
      <w:r w:rsidR="008B3178" w:rsidRPr="00FC7BCF">
        <w:rPr>
          <w:lang w:val="en-GB"/>
        </w:rPr>
        <w:t xml:space="preserve"> </w:t>
      </w:r>
      <w:r w:rsidRPr="00FC7BCF">
        <w:rPr>
          <w:lang w:val="en-GB"/>
        </w:rPr>
        <w:t xml:space="preserve">supported activities; changes in campus and community environments; and device-assisted behavioural monitoring. </w:t>
      </w:r>
      <w:r w:rsidR="005D0B09" w:rsidRPr="00FC7BCF">
        <w:rPr>
          <w:lang w:val="en-GB"/>
        </w:rPr>
        <w:t>Methodologically, intervention designs follow state-of-the-art RCT designs and econometric approaches.</w:t>
      </w:r>
      <w:r w:rsidR="00AC6B9B" w:rsidRPr="00FC7BCF">
        <w:rPr>
          <w:rStyle w:val="Funotenzeichen"/>
          <w:lang w:val="en-GB"/>
        </w:rPr>
        <w:footnoteReference w:id="4"/>
      </w:r>
      <w:r w:rsidR="005D0B09" w:rsidRPr="00FC7BCF">
        <w:rPr>
          <w:lang w:val="en-GB"/>
        </w:rPr>
        <w:t xml:space="preserve"> </w:t>
      </w:r>
      <w:r w:rsidRPr="00FC7BCF">
        <w:rPr>
          <w:lang w:val="en-GB"/>
        </w:rPr>
        <w:t xml:space="preserve">The intervention approach will be consistent with WHO's guidelines on health promotion in higher education settings. Inclusiveness and sustainability will be key pillars of the intervention approach. </w:t>
      </w:r>
    </w:p>
    <w:p w14:paraId="16F27FDE" w14:textId="037E03C1" w:rsidR="00D80558" w:rsidRPr="00FC7BCF" w:rsidRDefault="00840C0B" w:rsidP="005D0B09">
      <w:pPr>
        <w:spacing w:before="60" w:after="60"/>
        <w:jc w:val="both"/>
        <w:rPr>
          <w:lang w:val="en-GB"/>
        </w:rPr>
      </w:pPr>
      <w:r w:rsidRPr="00FC7BCF">
        <w:rPr>
          <w:lang w:val="en-GB"/>
        </w:rPr>
        <w:t xml:space="preserve">First, a health and digital literacy programme will be co-created with young adults and relevant local stakeholders, including university health services and community health professionals. This process will begin with a comprehensive needs assessment, followed by the development of an intervention plan comprising tailored health literacy materials and interactive, peer-led sessions. Dedicated components will address digital literacy, with a focus on critically accessing and evaluating health </w:t>
      </w:r>
      <w:r w:rsidR="00D80558" w:rsidRPr="00FC7BCF">
        <w:rPr>
          <w:lang w:val="en-GB"/>
        </w:rPr>
        <w:t>mis</w:t>
      </w:r>
      <w:r w:rsidRPr="00FC7BCF">
        <w:rPr>
          <w:lang w:val="en-GB"/>
        </w:rPr>
        <w:t xml:space="preserve">information in digital media environments. </w:t>
      </w:r>
    </w:p>
    <w:p w14:paraId="4C262D76" w14:textId="4EF09F48" w:rsidR="00840C0B" w:rsidRPr="00FC7BCF" w:rsidRDefault="00840C0B" w:rsidP="005D0B09">
      <w:pPr>
        <w:spacing w:before="60" w:after="60"/>
        <w:jc w:val="both"/>
        <w:rPr>
          <w:lang w:val="en-GB"/>
        </w:rPr>
      </w:pPr>
      <w:r w:rsidRPr="00FC7BCF">
        <w:rPr>
          <w:lang w:val="en-GB"/>
        </w:rPr>
        <w:t>Second, device-assisted monitoring and feedback interventions will be offered to young adults</w:t>
      </w:r>
      <w:r w:rsidR="00424FE0" w:rsidRPr="00FC7BCF">
        <w:rPr>
          <w:lang w:val="en-GB"/>
        </w:rPr>
        <w:t xml:space="preserve">. </w:t>
      </w:r>
      <w:r w:rsidRPr="00FC7BCF">
        <w:rPr>
          <w:lang w:val="en-GB"/>
        </w:rPr>
        <w:t xml:space="preserve">These programmes will support participants in tracking health-related behaviours </w:t>
      </w:r>
      <w:r w:rsidR="005D0B09" w:rsidRPr="00FC7BCF">
        <w:rPr>
          <w:lang w:val="en-GB"/>
        </w:rPr>
        <w:t>(</w:t>
      </w:r>
      <w:r w:rsidRPr="00FC7BCF">
        <w:rPr>
          <w:lang w:val="en-GB"/>
        </w:rPr>
        <w:t>including physical activity, sleep, dietary patterns, and screen time</w:t>
      </w:r>
      <w:r w:rsidR="005D0B09" w:rsidRPr="00FC7BCF">
        <w:rPr>
          <w:lang w:val="en-GB"/>
        </w:rPr>
        <w:t>)</w:t>
      </w:r>
      <w:r w:rsidRPr="00FC7BCF">
        <w:rPr>
          <w:lang w:val="en-GB"/>
        </w:rPr>
        <w:t xml:space="preserve"> through wearable devices and smartphone applications, generating personalised feedback and nudges. Third, interventions will address health-promoting campus and community environments through food provision strategies, nutrition standards, and behavioural nudges, combined where feasible with physical activity promotion and digital environment measures. All interventions will be developed through co-creative GMB workshops involving young adults, educators, health professionals, and community partners at each site. These workshops will generate shared conceptual models of key drivers of NCD-related risk behaviours, informing context-specific intervention plans. Health equity considerations will be systematically assessed.</w:t>
      </w:r>
    </w:p>
    <w:p w14:paraId="6FAADA83" w14:textId="7F055566" w:rsidR="00840C0B" w:rsidRPr="00FC7BCF" w:rsidRDefault="00840C0B" w:rsidP="005D0B09">
      <w:pPr>
        <w:spacing w:before="60" w:after="60"/>
        <w:jc w:val="both"/>
        <w:rPr>
          <w:lang w:val="en-GB"/>
        </w:rPr>
      </w:pPr>
      <w:r w:rsidRPr="00FC7BCF">
        <w:rPr>
          <w:lang w:val="en-GB"/>
        </w:rPr>
        <w:t xml:space="preserve">A distinctive methodological feature of WP5, building on the device-assisted monitoring approach described in T5.3.2, is the integration of personalised intervention delivery. Rather than applying </w:t>
      </w:r>
      <w:r w:rsidR="005D0B09" w:rsidRPr="00FC7BCF">
        <w:rPr>
          <w:lang w:val="en-GB"/>
        </w:rPr>
        <w:t>one-size-fits</w:t>
      </w:r>
      <w:r w:rsidRPr="00FC7BCF">
        <w:rPr>
          <w:lang w:val="en-GB"/>
        </w:rPr>
        <w:t xml:space="preserve"> treatment protocols, WP5 will explore the potential of tailoring intervention intensity to individual risk profiles. Drawing on economic preference measures</w:t>
      </w:r>
      <w:r w:rsidR="00D16F54" w:rsidRPr="00FC7BCF">
        <w:rPr>
          <w:lang w:val="en-GB"/>
        </w:rPr>
        <w:t xml:space="preserve"> such</w:t>
      </w:r>
      <w:r w:rsidRPr="00FC7BCF">
        <w:rPr>
          <w:lang w:val="en-GB"/>
        </w:rPr>
        <w:t xml:space="preserve"> </w:t>
      </w:r>
      <w:r w:rsidR="00D16F54" w:rsidRPr="00FC7BCF">
        <w:rPr>
          <w:lang w:val="en-GB"/>
        </w:rPr>
        <w:t xml:space="preserve">as </w:t>
      </w:r>
      <w:r w:rsidRPr="00FC7BCF">
        <w:rPr>
          <w:lang w:val="en-GB"/>
        </w:rPr>
        <w:t>time and risk preferences</w:t>
      </w:r>
      <w:r w:rsidR="00D16F54" w:rsidRPr="00FC7BCF">
        <w:rPr>
          <w:lang w:val="en-GB"/>
        </w:rPr>
        <w:t xml:space="preserve"> </w:t>
      </w:r>
      <w:r w:rsidRPr="00FC7BCF">
        <w:rPr>
          <w:lang w:val="en-GB"/>
        </w:rPr>
        <w:t xml:space="preserve">alongside demographic and behavioural data collected via smartphone applications, it will be possible to </w:t>
      </w:r>
      <w:r w:rsidR="00D16F54" w:rsidRPr="00FC7BCF">
        <w:rPr>
          <w:lang w:val="en-GB"/>
        </w:rPr>
        <w:t>better tailor interventions, for example to those who barely engage</w:t>
      </w:r>
      <w:r w:rsidRPr="00FC7BCF">
        <w:rPr>
          <w:lang w:val="en-GB"/>
        </w:rPr>
        <w:t xml:space="preserve"> </w:t>
      </w:r>
      <w:r w:rsidR="00D16F54" w:rsidRPr="00FC7BCF">
        <w:rPr>
          <w:lang w:val="en-GB"/>
        </w:rPr>
        <w:t>in physical activity or poor mental health outcomes</w:t>
      </w:r>
      <w:r w:rsidRPr="00FC7BCF">
        <w:rPr>
          <w:lang w:val="en-GB"/>
        </w:rPr>
        <w:t xml:space="preserve">. Those identified as </w:t>
      </w:r>
      <w:r w:rsidR="00D16F54" w:rsidRPr="00FC7BCF">
        <w:rPr>
          <w:lang w:val="en-GB"/>
        </w:rPr>
        <w:t>“</w:t>
      </w:r>
      <w:r w:rsidRPr="00FC7BCF">
        <w:rPr>
          <w:lang w:val="en-GB"/>
        </w:rPr>
        <w:t>higher risk</w:t>
      </w:r>
      <w:r w:rsidR="00D16F54" w:rsidRPr="00FC7BCF">
        <w:rPr>
          <w:lang w:val="en-GB"/>
        </w:rPr>
        <w:t>s”</w:t>
      </w:r>
      <w:r w:rsidRPr="00FC7BCF">
        <w:rPr>
          <w:lang w:val="en-GB"/>
        </w:rPr>
        <w:t xml:space="preserve"> can then receive more intensive intervention components, such as more frequent behavioural prompts, enhanced coaching content. Conversely, </w:t>
      </w:r>
      <w:r w:rsidR="00C4670F" w:rsidRPr="00FC7BCF">
        <w:rPr>
          <w:lang w:val="en-GB"/>
        </w:rPr>
        <w:t>“</w:t>
      </w:r>
      <w:r w:rsidRPr="00FC7BCF">
        <w:rPr>
          <w:lang w:val="en-GB"/>
        </w:rPr>
        <w:t>lower-risk</w:t>
      </w:r>
      <w:r w:rsidR="00C4670F" w:rsidRPr="00FC7BCF">
        <w:rPr>
          <w:lang w:val="en-GB"/>
        </w:rPr>
        <w:t>”</w:t>
      </w:r>
      <w:r w:rsidRPr="00FC7BCF">
        <w:rPr>
          <w:lang w:val="en-GB"/>
        </w:rPr>
        <w:t xml:space="preserve"> individuals may receive lighter-touch versions, </w:t>
      </w:r>
      <w:r w:rsidR="006A7F3D" w:rsidRPr="00FC7BCF">
        <w:rPr>
          <w:lang w:val="en-GB"/>
        </w:rPr>
        <w:t>improve</w:t>
      </w:r>
      <w:r w:rsidRPr="00FC7BCF">
        <w:rPr>
          <w:lang w:val="en-GB"/>
        </w:rPr>
        <w:t xml:space="preserve"> overall efficiency and reducing participant burden. </w:t>
      </w:r>
      <w:r w:rsidR="009F1349" w:rsidRPr="00FC7BCF">
        <w:rPr>
          <w:lang w:val="en-GB"/>
        </w:rPr>
        <w:t xml:space="preserve">Individual characteristics (e.g., </w:t>
      </w:r>
      <w:r w:rsidR="005D69D7" w:rsidRPr="00FC7BCF">
        <w:rPr>
          <w:lang w:val="en-GB"/>
        </w:rPr>
        <w:t>preferences, traits</w:t>
      </w:r>
      <w:r w:rsidR="009F1349" w:rsidRPr="00FC7BCF">
        <w:rPr>
          <w:lang w:val="en-GB"/>
        </w:rPr>
        <w:t>)</w:t>
      </w:r>
      <w:r w:rsidR="005D69D7" w:rsidRPr="00FC7BCF">
        <w:rPr>
          <w:lang w:val="en-GB"/>
        </w:rPr>
        <w:t xml:space="preserve"> will be elicited at baseline</w:t>
      </w:r>
      <w:r w:rsidR="009F1349" w:rsidRPr="00FC7BCF">
        <w:rPr>
          <w:lang w:val="en-GB"/>
        </w:rPr>
        <w:t>. H</w:t>
      </w:r>
      <w:r w:rsidRPr="00FC7BCF">
        <w:rPr>
          <w:lang w:val="en-GB"/>
        </w:rPr>
        <w:t>ealth</w:t>
      </w:r>
      <w:r w:rsidR="009F1349" w:rsidRPr="00FC7BCF">
        <w:rPr>
          <w:lang w:val="en-GB"/>
        </w:rPr>
        <w:t>-related metrics</w:t>
      </w:r>
      <w:r w:rsidRPr="00FC7BCF">
        <w:rPr>
          <w:lang w:val="en-GB"/>
        </w:rPr>
        <w:t xml:space="preserve"> will be assessed through validated questionnaires administered </w:t>
      </w:r>
      <w:r w:rsidR="006A7F3D" w:rsidRPr="00FC7BCF">
        <w:rPr>
          <w:lang w:val="en-GB"/>
        </w:rPr>
        <w:t xml:space="preserve">(e.g., </w:t>
      </w:r>
      <w:r w:rsidRPr="00FC7BCF">
        <w:rPr>
          <w:lang w:val="en-GB"/>
        </w:rPr>
        <w:t>via the app</w:t>
      </w:r>
      <w:r w:rsidR="006A7F3D" w:rsidRPr="00FC7BCF">
        <w:rPr>
          <w:lang w:val="en-GB"/>
        </w:rPr>
        <w:t>)</w:t>
      </w:r>
      <w:r w:rsidRPr="00FC7BCF">
        <w:rPr>
          <w:lang w:val="en-GB"/>
        </w:rPr>
        <w:t xml:space="preserve"> at baseline, mid-intervention, and follow-up, enabling longitudinal tracking of intervention effects.</w:t>
      </w:r>
    </w:p>
    <w:p w14:paraId="629D69EF" w14:textId="77777777" w:rsidR="00840C0B" w:rsidRPr="00FC7BCF" w:rsidRDefault="00840C0B">
      <w:pPr>
        <w:rPr>
          <w:b/>
          <w:bCs/>
          <w:lang w:val="en-GB"/>
        </w:rPr>
      </w:pPr>
    </w:p>
    <w:p w14:paraId="34CCC926" w14:textId="77777777" w:rsidR="00840C0B" w:rsidRPr="00FC7BCF" w:rsidRDefault="00840C0B">
      <w:pPr>
        <w:rPr>
          <w:b/>
          <w:bCs/>
          <w:lang w:val="en-GB"/>
        </w:rPr>
      </w:pPr>
    </w:p>
    <w:p w14:paraId="09027C7B" w14:textId="3BD078D2" w:rsidR="0094363B" w:rsidRPr="00FC7BCF" w:rsidRDefault="0094363B">
      <w:pPr>
        <w:rPr>
          <w:b/>
          <w:bCs/>
          <w:lang w:val="en-GB"/>
        </w:rPr>
      </w:pPr>
      <w:r w:rsidRPr="00FC7BCF">
        <w:rPr>
          <w:b/>
          <w:bCs/>
          <w:lang w:val="en-GB"/>
        </w:rPr>
        <w:t>1.2.2 Interaction with other projects</w:t>
      </w:r>
    </w:p>
    <w:p w14:paraId="5C9F928B" w14:textId="77777777" w:rsidR="00584419" w:rsidRPr="00FC7BCF" w:rsidRDefault="00584419">
      <w:pPr>
        <w:rPr>
          <w:b/>
          <w:bCs/>
          <w:lang w:val="en-GB"/>
        </w:rPr>
      </w:pPr>
    </w:p>
    <w:p w14:paraId="6ECA0F8E" w14:textId="77777777" w:rsidR="00584419" w:rsidRPr="00FC7BCF" w:rsidRDefault="00584419">
      <w:pPr>
        <w:rPr>
          <w:b/>
          <w:bCs/>
          <w:lang w:val="en-GB"/>
        </w:rPr>
      </w:pPr>
    </w:p>
    <w:sectPr w:rsidR="00584419" w:rsidRPr="00FC7BCF">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372BC" w14:textId="77777777" w:rsidR="001E1478" w:rsidRDefault="001E1478" w:rsidP="00B35DFE">
      <w:r>
        <w:separator/>
      </w:r>
    </w:p>
  </w:endnote>
  <w:endnote w:type="continuationSeparator" w:id="0">
    <w:p w14:paraId="2D4E0F13" w14:textId="77777777" w:rsidR="001E1478" w:rsidRDefault="001E1478" w:rsidP="00B3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9ACF" w14:textId="77777777" w:rsidR="001E1478" w:rsidRDefault="001E1478" w:rsidP="00B35DFE">
      <w:r>
        <w:separator/>
      </w:r>
    </w:p>
  </w:footnote>
  <w:footnote w:type="continuationSeparator" w:id="0">
    <w:p w14:paraId="1BED9FD8" w14:textId="77777777" w:rsidR="001E1478" w:rsidRDefault="001E1478" w:rsidP="00B35DFE">
      <w:r>
        <w:continuationSeparator/>
      </w:r>
    </w:p>
  </w:footnote>
  <w:footnote w:id="1">
    <w:p w14:paraId="62C2A9B8" w14:textId="77777777" w:rsidR="004E3E47" w:rsidRPr="00D80558" w:rsidRDefault="004E3E47" w:rsidP="004E3E47">
      <w:pPr>
        <w:pStyle w:val="Funotentext"/>
        <w:rPr>
          <w:sz w:val="18"/>
          <w:szCs w:val="18"/>
        </w:rPr>
      </w:pPr>
      <w:r>
        <w:rPr>
          <w:rStyle w:val="Funotenzeichen"/>
        </w:rPr>
        <w:footnoteRef/>
      </w:r>
      <w:r>
        <w:t xml:space="preserve"> </w:t>
      </w:r>
      <w:r w:rsidRPr="00D80558">
        <w:rPr>
          <w:color w:val="222222"/>
          <w:sz w:val="18"/>
          <w:szCs w:val="18"/>
          <w:shd w:val="clear" w:color="auto" w:fill="FFFFFF"/>
        </w:rPr>
        <w:t>Diamant, É., Perez, T., &amp; Drouin, O. (2023). Nudging interventions to improve children's sleep, physical activity and sedentary behavior: A scoping review.</w:t>
      </w:r>
      <w:r w:rsidRPr="00D80558">
        <w:rPr>
          <w:rStyle w:val="apple-converted-space"/>
          <w:color w:val="222222"/>
          <w:sz w:val="18"/>
          <w:szCs w:val="18"/>
          <w:shd w:val="clear" w:color="auto" w:fill="FFFFFF"/>
        </w:rPr>
        <w:t> </w:t>
      </w:r>
      <w:r w:rsidRPr="00D80558">
        <w:rPr>
          <w:i/>
          <w:iCs/>
          <w:color w:val="222222"/>
          <w:sz w:val="18"/>
          <w:szCs w:val="18"/>
        </w:rPr>
        <w:t>Preventive Medicine</w:t>
      </w:r>
      <w:r w:rsidRPr="00D80558">
        <w:rPr>
          <w:color w:val="222222"/>
          <w:sz w:val="18"/>
          <w:szCs w:val="18"/>
          <w:shd w:val="clear" w:color="auto" w:fill="FFFFFF"/>
        </w:rPr>
        <w:t>,</w:t>
      </w:r>
      <w:r w:rsidRPr="00D80558">
        <w:rPr>
          <w:rStyle w:val="apple-converted-space"/>
          <w:color w:val="222222"/>
          <w:sz w:val="18"/>
          <w:szCs w:val="18"/>
          <w:shd w:val="clear" w:color="auto" w:fill="FFFFFF"/>
        </w:rPr>
        <w:t> </w:t>
      </w:r>
      <w:r w:rsidRPr="00D80558">
        <w:rPr>
          <w:i/>
          <w:iCs/>
          <w:color w:val="222222"/>
          <w:sz w:val="18"/>
          <w:szCs w:val="18"/>
        </w:rPr>
        <w:t>173</w:t>
      </w:r>
      <w:r w:rsidRPr="00D80558">
        <w:rPr>
          <w:color w:val="222222"/>
          <w:sz w:val="18"/>
          <w:szCs w:val="18"/>
          <w:shd w:val="clear" w:color="auto" w:fill="FFFFFF"/>
        </w:rPr>
        <w:t>, 107572.</w:t>
      </w:r>
    </w:p>
  </w:footnote>
  <w:footnote w:id="2">
    <w:p w14:paraId="58798DF4" w14:textId="1FEE1E73" w:rsidR="00443B27" w:rsidRDefault="00443B27">
      <w:pPr>
        <w:pStyle w:val="Funotentext"/>
      </w:pPr>
      <w:r w:rsidRPr="00D80558">
        <w:rPr>
          <w:rStyle w:val="Funotenzeichen"/>
          <w:sz w:val="18"/>
          <w:szCs w:val="18"/>
        </w:rPr>
        <w:footnoteRef/>
      </w:r>
      <w:r w:rsidRPr="00D80558">
        <w:rPr>
          <w:sz w:val="18"/>
          <w:szCs w:val="18"/>
        </w:rPr>
        <w:t xml:space="preserve"> </w:t>
      </w:r>
      <w:r w:rsidRPr="00D80558">
        <w:rPr>
          <w:color w:val="222222"/>
          <w:sz w:val="18"/>
          <w:szCs w:val="18"/>
          <w:shd w:val="clear" w:color="auto" w:fill="FFFFFF"/>
        </w:rPr>
        <w:t>Thaler, R.H., 2018. From cashews to nudges: The evolution of behavioral economics.</w:t>
      </w:r>
      <w:r w:rsidRPr="00D80558">
        <w:rPr>
          <w:rStyle w:val="apple-converted-space"/>
          <w:color w:val="222222"/>
          <w:sz w:val="18"/>
          <w:szCs w:val="18"/>
          <w:shd w:val="clear" w:color="auto" w:fill="FFFFFF"/>
        </w:rPr>
        <w:t> </w:t>
      </w:r>
      <w:r w:rsidRPr="00D80558">
        <w:rPr>
          <w:i/>
          <w:iCs/>
          <w:color w:val="222222"/>
          <w:sz w:val="18"/>
          <w:szCs w:val="18"/>
        </w:rPr>
        <w:t>American Economic Review</w:t>
      </w:r>
      <w:r w:rsidRPr="00D80558">
        <w:rPr>
          <w:color w:val="222222"/>
          <w:sz w:val="18"/>
          <w:szCs w:val="18"/>
          <w:shd w:val="clear" w:color="auto" w:fill="FFFFFF"/>
        </w:rPr>
        <w:t>,</w:t>
      </w:r>
      <w:r w:rsidRPr="00D80558">
        <w:rPr>
          <w:rStyle w:val="apple-converted-space"/>
          <w:color w:val="222222"/>
          <w:sz w:val="18"/>
          <w:szCs w:val="18"/>
          <w:shd w:val="clear" w:color="auto" w:fill="FFFFFF"/>
        </w:rPr>
        <w:t> </w:t>
      </w:r>
      <w:r w:rsidRPr="00D80558">
        <w:rPr>
          <w:i/>
          <w:iCs/>
          <w:color w:val="222222"/>
          <w:sz w:val="18"/>
          <w:szCs w:val="18"/>
        </w:rPr>
        <w:t>108</w:t>
      </w:r>
      <w:r w:rsidRPr="00D80558">
        <w:rPr>
          <w:color w:val="222222"/>
          <w:sz w:val="18"/>
          <w:szCs w:val="18"/>
          <w:shd w:val="clear" w:color="auto" w:fill="FFFFFF"/>
        </w:rPr>
        <w:t>(6), pp.1265-1287.</w:t>
      </w:r>
    </w:p>
  </w:footnote>
  <w:footnote w:id="3">
    <w:p w14:paraId="2A9D6212" w14:textId="77777777" w:rsidR="00B35DFE" w:rsidRPr="00D80558" w:rsidRDefault="00B35DFE" w:rsidP="00B35DFE">
      <w:pPr>
        <w:pStyle w:val="p1"/>
        <w:rPr>
          <w:rFonts w:ascii="Arial" w:hAnsi="Arial" w:cs="Arial"/>
          <w:sz w:val="18"/>
          <w:szCs w:val="18"/>
        </w:rPr>
      </w:pPr>
      <w:r>
        <w:rPr>
          <w:rStyle w:val="Funotenzeichen"/>
        </w:rPr>
        <w:footnoteRef/>
      </w:r>
      <w:r>
        <w:t xml:space="preserve"> </w:t>
      </w:r>
      <w:r w:rsidRPr="00D80558">
        <w:rPr>
          <w:rFonts w:ascii="Arial" w:hAnsi="Arial" w:cs="Arial"/>
          <w:sz w:val="18"/>
          <w:szCs w:val="18"/>
        </w:rPr>
        <w:t>Plackett, R., A. Blyth, and P. Schartau (2023). The impact of social media use interventions on mental well-</w:t>
      </w:r>
    </w:p>
    <w:p w14:paraId="72C80794" w14:textId="77777777" w:rsidR="00B35DFE" w:rsidRPr="00D80558" w:rsidRDefault="00B35DFE" w:rsidP="00B35DFE">
      <w:pPr>
        <w:pStyle w:val="p1"/>
        <w:rPr>
          <w:rFonts w:ascii="Arial" w:hAnsi="Arial" w:cs="Arial"/>
          <w:sz w:val="18"/>
          <w:szCs w:val="18"/>
        </w:rPr>
      </w:pPr>
      <w:r w:rsidRPr="00D80558">
        <w:rPr>
          <w:rFonts w:ascii="Arial" w:hAnsi="Arial" w:cs="Arial"/>
          <w:sz w:val="18"/>
          <w:szCs w:val="18"/>
        </w:rPr>
        <w:t xml:space="preserve">being: Systematic review. </w:t>
      </w:r>
      <w:r w:rsidRPr="00D80558">
        <w:rPr>
          <w:rFonts w:ascii="Arial" w:hAnsi="Arial" w:cs="Arial"/>
          <w:i/>
          <w:iCs/>
          <w:sz w:val="18"/>
          <w:szCs w:val="18"/>
        </w:rPr>
        <w:t>Journal of Medical Internet Research 25</w:t>
      </w:r>
      <w:r w:rsidRPr="00D80558">
        <w:rPr>
          <w:rFonts w:ascii="Arial" w:hAnsi="Arial" w:cs="Arial"/>
          <w:sz w:val="18"/>
          <w:szCs w:val="18"/>
        </w:rPr>
        <w:t>, e44922.</w:t>
      </w:r>
    </w:p>
    <w:p w14:paraId="4FC9DD4D" w14:textId="7ED7BE0F" w:rsidR="00B35DFE" w:rsidRDefault="00B35DFE">
      <w:pPr>
        <w:pStyle w:val="Funotentext"/>
      </w:pPr>
    </w:p>
  </w:footnote>
  <w:footnote w:id="4">
    <w:p w14:paraId="34C41C56" w14:textId="1A432A7D" w:rsidR="00AC6B9B" w:rsidRPr="00AC6B9B" w:rsidRDefault="00AC6B9B">
      <w:pPr>
        <w:pStyle w:val="Funotentext"/>
        <w:rPr>
          <w:sz w:val="18"/>
          <w:szCs w:val="18"/>
        </w:rPr>
      </w:pPr>
      <w:r w:rsidRPr="00AC6B9B">
        <w:rPr>
          <w:rStyle w:val="Funotenzeichen"/>
          <w:sz w:val="18"/>
          <w:szCs w:val="18"/>
        </w:rPr>
        <w:footnoteRef/>
      </w:r>
      <w:r w:rsidRPr="00AC6B9B">
        <w:rPr>
          <w:sz w:val="18"/>
          <w:szCs w:val="18"/>
        </w:rPr>
        <w:t xml:space="preserve"> </w:t>
      </w:r>
      <w:r w:rsidRPr="00AC6B9B">
        <w:rPr>
          <w:color w:val="000000"/>
          <w:sz w:val="18"/>
          <w:szCs w:val="18"/>
        </w:rPr>
        <w:t>List, John A., 2026.</w:t>
      </w:r>
      <w:r w:rsidRPr="00AC6B9B">
        <w:rPr>
          <w:rStyle w:val="apple-converted-space"/>
          <w:color w:val="000000"/>
          <w:sz w:val="18"/>
          <w:szCs w:val="18"/>
        </w:rPr>
        <w:t> </w:t>
      </w:r>
      <w:r w:rsidRPr="00AC6B9B">
        <w:rPr>
          <w:rStyle w:val="Hervorhebung"/>
          <w:color w:val="000000"/>
          <w:sz w:val="18"/>
          <w:szCs w:val="18"/>
        </w:rPr>
        <w:t>Experimental Economics: Theory and Practice</w:t>
      </w:r>
      <w:r w:rsidRPr="00AC6B9B">
        <w:rPr>
          <w:color w:val="000000"/>
          <w:sz w:val="18"/>
          <w:szCs w:val="18"/>
        </w:rPr>
        <w:t xml:space="preserve">, University of Chicago Press Economics Books, </w:t>
      </w:r>
      <w:r>
        <w:rPr>
          <w:color w:val="000000"/>
          <w:sz w:val="18"/>
          <w:szCs w:val="18"/>
        </w:rPr>
        <w:t>Chicago, USA, 1st edition.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A1921"/>
    <w:multiLevelType w:val="hybridMultilevel"/>
    <w:tmpl w:val="95CE97CE"/>
    <w:lvl w:ilvl="0" w:tplc="51B04F6A">
      <w:start w:val="1"/>
      <w:numFmt w:val="bullet"/>
      <w:lvlText w:val="●"/>
      <w:lvlJc w:val="left"/>
      <w:pPr>
        <w:ind w:left="720" w:hanging="360"/>
      </w:pPr>
    </w:lvl>
    <w:lvl w:ilvl="1" w:tplc="F14C8B30">
      <w:start w:val="1"/>
      <w:numFmt w:val="bullet"/>
      <w:lvlText w:val="○"/>
      <w:lvlJc w:val="left"/>
      <w:pPr>
        <w:ind w:left="1440" w:hanging="360"/>
      </w:pPr>
    </w:lvl>
    <w:lvl w:ilvl="2" w:tplc="3ED87896">
      <w:start w:val="1"/>
      <w:numFmt w:val="bullet"/>
      <w:lvlText w:val="■"/>
      <w:lvlJc w:val="left"/>
      <w:pPr>
        <w:ind w:left="2160" w:hanging="360"/>
      </w:pPr>
    </w:lvl>
    <w:lvl w:ilvl="3" w:tplc="AE12714A">
      <w:start w:val="1"/>
      <w:numFmt w:val="bullet"/>
      <w:lvlText w:val="●"/>
      <w:lvlJc w:val="left"/>
      <w:pPr>
        <w:ind w:left="2880" w:hanging="360"/>
      </w:pPr>
    </w:lvl>
    <w:lvl w:ilvl="4" w:tplc="BDBEB35A">
      <w:start w:val="1"/>
      <w:numFmt w:val="bullet"/>
      <w:lvlText w:val="○"/>
      <w:lvlJc w:val="left"/>
      <w:pPr>
        <w:ind w:left="3600" w:hanging="360"/>
      </w:pPr>
    </w:lvl>
    <w:lvl w:ilvl="5" w:tplc="32BCA4F2">
      <w:start w:val="1"/>
      <w:numFmt w:val="bullet"/>
      <w:lvlText w:val="■"/>
      <w:lvlJc w:val="left"/>
      <w:pPr>
        <w:ind w:left="4320" w:hanging="360"/>
      </w:pPr>
    </w:lvl>
    <w:lvl w:ilvl="6" w:tplc="401E4448">
      <w:start w:val="1"/>
      <w:numFmt w:val="bullet"/>
      <w:lvlText w:val="●"/>
      <w:lvlJc w:val="left"/>
      <w:pPr>
        <w:ind w:left="5040" w:hanging="360"/>
      </w:pPr>
    </w:lvl>
    <w:lvl w:ilvl="7" w:tplc="EF6EE56E">
      <w:start w:val="1"/>
      <w:numFmt w:val="bullet"/>
      <w:lvlText w:val="●"/>
      <w:lvlJc w:val="left"/>
      <w:pPr>
        <w:ind w:left="5760" w:hanging="360"/>
      </w:pPr>
    </w:lvl>
    <w:lvl w:ilvl="8" w:tplc="43740F40">
      <w:start w:val="1"/>
      <w:numFmt w:val="bullet"/>
      <w:lvlText w:val="●"/>
      <w:lvlJc w:val="left"/>
      <w:pPr>
        <w:ind w:left="6480" w:hanging="360"/>
      </w:pPr>
    </w:lvl>
  </w:abstractNum>
  <w:abstractNum w:abstractNumId="1" w15:restartNumberingAfterBreak="0">
    <w:nsid w:val="679642FD"/>
    <w:multiLevelType w:val="multilevel"/>
    <w:tmpl w:val="D2801170"/>
    <w:lvl w:ilvl="0">
      <w:start w:val="1"/>
      <w:numFmt w:val="decimal"/>
      <w:lvlText w:val="%1"/>
      <w:lvlJc w:val="left"/>
      <w:pPr>
        <w:ind w:left="360" w:hanging="360"/>
      </w:pPr>
      <w:rPr>
        <w:rFonts w:ascii="Times New Roman" w:hAnsi="Times New Roman"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2" w15:restartNumberingAfterBreak="0">
    <w:nsid w:val="78506EC3"/>
    <w:multiLevelType w:val="multilevel"/>
    <w:tmpl w:val="E17AB658"/>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4890412">
    <w:abstractNumId w:val="0"/>
    <w:lvlOverride w:ilvl="0">
      <w:startOverride w:val="1"/>
    </w:lvlOverride>
  </w:num>
  <w:num w:numId="2" w16cid:durableId="87626383">
    <w:abstractNumId w:val="1"/>
  </w:num>
  <w:num w:numId="3" w16cid:durableId="2121099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displayBackgroundShap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97"/>
    <w:rsid w:val="00004BF7"/>
    <w:rsid w:val="00063181"/>
    <w:rsid w:val="0009120D"/>
    <w:rsid w:val="00093F52"/>
    <w:rsid w:val="000A4C0D"/>
    <w:rsid w:val="000A7369"/>
    <w:rsid w:val="00135D91"/>
    <w:rsid w:val="00165C8A"/>
    <w:rsid w:val="001E1478"/>
    <w:rsid w:val="001E2B73"/>
    <w:rsid w:val="00201860"/>
    <w:rsid w:val="00295014"/>
    <w:rsid w:val="002B1AEB"/>
    <w:rsid w:val="002D251D"/>
    <w:rsid w:val="002E23B7"/>
    <w:rsid w:val="002F291C"/>
    <w:rsid w:val="00330E49"/>
    <w:rsid w:val="003369CA"/>
    <w:rsid w:val="00372CA8"/>
    <w:rsid w:val="0040612F"/>
    <w:rsid w:val="004151DC"/>
    <w:rsid w:val="00424FE0"/>
    <w:rsid w:val="00443B27"/>
    <w:rsid w:val="004A3BA4"/>
    <w:rsid w:val="004E3E47"/>
    <w:rsid w:val="00523F06"/>
    <w:rsid w:val="00584419"/>
    <w:rsid w:val="005D0B09"/>
    <w:rsid w:val="005D69D7"/>
    <w:rsid w:val="005E59C4"/>
    <w:rsid w:val="00621D0A"/>
    <w:rsid w:val="00621F4A"/>
    <w:rsid w:val="0062244A"/>
    <w:rsid w:val="00645AE1"/>
    <w:rsid w:val="006A7F3D"/>
    <w:rsid w:val="006E0109"/>
    <w:rsid w:val="00774678"/>
    <w:rsid w:val="007828B5"/>
    <w:rsid w:val="00791DEB"/>
    <w:rsid w:val="007D2A93"/>
    <w:rsid w:val="007D39E7"/>
    <w:rsid w:val="007D5ADB"/>
    <w:rsid w:val="00806E62"/>
    <w:rsid w:val="00840C0B"/>
    <w:rsid w:val="00877A0D"/>
    <w:rsid w:val="00884CCE"/>
    <w:rsid w:val="008B3178"/>
    <w:rsid w:val="008B730E"/>
    <w:rsid w:val="008F0BFB"/>
    <w:rsid w:val="0091000C"/>
    <w:rsid w:val="00912564"/>
    <w:rsid w:val="0094363B"/>
    <w:rsid w:val="009657CF"/>
    <w:rsid w:val="00965882"/>
    <w:rsid w:val="009A7759"/>
    <w:rsid w:val="009C7568"/>
    <w:rsid w:val="009D6FF3"/>
    <w:rsid w:val="009E3457"/>
    <w:rsid w:val="009F1349"/>
    <w:rsid w:val="00A02D00"/>
    <w:rsid w:val="00A268F4"/>
    <w:rsid w:val="00A6673B"/>
    <w:rsid w:val="00AC6B9B"/>
    <w:rsid w:val="00AD78B2"/>
    <w:rsid w:val="00B35DFE"/>
    <w:rsid w:val="00B4169C"/>
    <w:rsid w:val="00B54943"/>
    <w:rsid w:val="00B63043"/>
    <w:rsid w:val="00BF46CA"/>
    <w:rsid w:val="00C4514B"/>
    <w:rsid w:val="00C4670F"/>
    <w:rsid w:val="00C47B2C"/>
    <w:rsid w:val="00C54506"/>
    <w:rsid w:val="00CB503C"/>
    <w:rsid w:val="00CB5FDB"/>
    <w:rsid w:val="00D16F54"/>
    <w:rsid w:val="00D20611"/>
    <w:rsid w:val="00D51CCD"/>
    <w:rsid w:val="00D72EE2"/>
    <w:rsid w:val="00D80558"/>
    <w:rsid w:val="00DC2639"/>
    <w:rsid w:val="00E066F5"/>
    <w:rsid w:val="00E8183D"/>
    <w:rsid w:val="00EF79C9"/>
    <w:rsid w:val="00F17DFB"/>
    <w:rsid w:val="00F32997"/>
    <w:rsid w:val="00FC60F1"/>
    <w:rsid w:val="00FC7BCF"/>
    <w:rsid w:val="00FF73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6C66B"/>
  <w15:docId w15:val="{42049463-E26F-B64C-8765-04625D6F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 w:type="character" w:styleId="Kommentarzeichen">
    <w:name w:val="annotation reference"/>
    <w:basedOn w:val="Absatz-Standardschriftart"/>
    <w:uiPriority w:val="99"/>
    <w:semiHidden/>
    <w:unhideWhenUsed/>
    <w:rsid w:val="00884CCE"/>
    <w:rPr>
      <w:sz w:val="16"/>
      <w:szCs w:val="16"/>
    </w:rPr>
  </w:style>
  <w:style w:type="paragraph" w:styleId="Kommentartext">
    <w:name w:val="annotation text"/>
    <w:basedOn w:val="Standard"/>
    <w:link w:val="KommentartextZchn"/>
    <w:uiPriority w:val="99"/>
    <w:unhideWhenUsed/>
    <w:rsid w:val="00884CCE"/>
  </w:style>
  <w:style w:type="character" w:customStyle="1" w:styleId="KommentartextZchn">
    <w:name w:val="Kommentartext Zchn"/>
    <w:basedOn w:val="Absatz-Standardschriftart"/>
    <w:link w:val="Kommentartext"/>
    <w:uiPriority w:val="99"/>
    <w:rsid w:val="00884CCE"/>
  </w:style>
  <w:style w:type="paragraph" w:styleId="Kommentarthema">
    <w:name w:val="annotation subject"/>
    <w:basedOn w:val="Kommentartext"/>
    <w:next w:val="Kommentartext"/>
    <w:link w:val="KommentarthemaZchn"/>
    <w:uiPriority w:val="99"/>
    <w:semiHidden/>
    <w:unhideWhenUsed/>
    <w:rsid w:val="00884CCE"/>
    <w:rPr>
      <w:b/>
      <w:bCs/>
    </w:rPr>
  </w:style>
  <w:style w:type="character" w:customStyle="1" w:styleId="KommentarthemaZchn">
    <w:name w:val="Kommentarthema Zchn"/>
    <w:basedOn w:val="KommentartextZchn"/>
    <w:link w:val="Kommentarthema"/>
    <w:uiPriority w:val="99"/>
    <w:semiHidden/>
    <w:rsid w:val="00884CCE"/>
    <w:rPr>
      <w:b/>
      <w:bCs/>
    </w:rPr>
  </w:style>
  <w:style w:type="character" w:styleId="NichtaufgelsteErwhnung">
    <w:name w:val="Unresolved Mention"/>
    <w:basedOn w:val="Absatz-Standardschriftart"/>
    <w:uiPriority w:val="99"/>
    <w:semiHidden/>
    <w:unhideWhenUsed/>
    <w:rsid w:val="007D2A93"/>
    <w:rPr>
      <w:color w:val="605E5C"/>
      <w:shd w:val="clear" w:color="auto" w:fill="E1DFDD"/>
    </w:rPr>
  </w:style>
  <w:style w:type="paragraph" w:customStyle="1" w:styleId="font-claude-response-body">
    <w:name w:val="font-claude-response-body"/>
    <w:basedOn w:val="Standard"/>
    <w:rsid w:val="0094363B"/>
    <w:pPr>
      <w:spacing w:before="100" w:beforeAutospacing="1" w:after="100" w:afterAutospacing="1"/>
    </w:pPr>
    <w:rPr>
      <w:rFonts w:ascii="Times New Roman" w:eastAsia="Times New Roman" w:hAnsi="Times New Roman" w:cs="Times New Roman"/>
      <w:sz w:val="24"/>
      <w:szCs w:val="24"/>
    </w:rPr>
  </w:style>
  <w:style w:type="paragraph" w:customStyle="1" w:styleId="p1">
    <w:name w:val="p1"/>
    <w:basedOn w:val="Standard"/>
    <w:rsid w:val="00B35DFE"/>
    <w:rPr>
      <w:rFonts w:ascii="Times New Roman" w:eastAsia="Times New Roman" w:hAnsi="Times New Roman" w:cs="Times New Roman"/>
      <w:color w:val="000000"/>
      <w:sz w:val="17"/>
      <w:szCs w:val="17"/>
    </w:rPr>
  </w:style>
  <w:style w:type="character" w:customStyle="1" w:styleId="apple-converted-space">
    <w:name w:val="apple-converted-space"/>
    <w:basedOn w:val="Absatz-Standardschriftart"/>
    <w:rsid w:val="00B35DFE"/>
  </w:style>
  <w:style w:type="character" w:styleId="Hervorhebung">
    <w:name w:val="Emphasis"/>
    <w:basedOn w:val="Absatz-Standardschriftart"/>
    <w:uiPriority w:val="20"/>
    <w:qFormat/>
    <w:rsid w:val="00AC6B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1893</Words>
  <Characters>11926</Characters>
  <Application>Microsoft Office Word</Application>
  <DocSecurity>0</DocSecurity>
  <Lines>99</Lines>
  <Paragraphs>27</Paragraphs>
  <ScaleCrop>false</ScaleCrop>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Daniel Wiesen</cp:lastModifiedBy>
  <cp:revision>40</cp:revision>
  <dcterms:created xsi:type="dcterms:W3CDTF">2026-04-06T21:23:00Z</dcterms:created>
  <dcterms:modified xsi:type="dcterms:W3CDTF">2026-04-06T22:34:00Z</dcterms:modified>
</cp:coreProperties>
</file>